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170F0B" w14:textId="6EEFDA08" w:rsidR="004526A0" w:rsidRPr="00BB6460" w:rsidRDefault="0001592C" w:rsidP="0001592C">
      <w:pPr>
        <w:jc w:val="center"/>
        <w:rPr>
          <w:rFonts w:ascii="Palatino" w:hAnsi="Palatino"/>
          <w:b/>
          <w:sz w:val="32"/>
          <w:szCs w:val="32"/>
        </w:rPr>
      </w:pPr>
      <w:r w:rsidRPr="00BB6460">
        <w:rPr>
          <w:rFonts w:ascii="Palatino" w:hAnsi="Palatino"/>
          <w:b/>
          <w:sz w:val="32"/>
          <w:szCs w:val="32"/>
        </w:rPr>
        <w:t xml:space="preserve">Étude sur les pédiatres </w:t>
      </w:r>
      <w:r w:rsidR="00967A09">
        <w:rPr>
          <w:rFonts w:ascii="Palatino" w:hAnsi="Palatino"/>
          <w:b/>
          <w:sz w:val="32"/>
          <w:szCs w:val="32"/>
        </w:rPr>
        <w:t xml:space="preserve">de </w:t>
      </w:r>
      <w:r w:rsidRPr="00BB6460">
        <w:rPr>
          <w:rFonts w:ascii="Palatino" w:hAnsi="Palatino"/>
          <w:b/>
          <w:sz w:val="32"/>
          <w:szCs w:val="32"/>
        </w:rPr>
        <w:t>PACA-Est</w:t>
      </w:r>
    </w:p>
    <w:p w14:paraId="7EA8F6CE" w14:textId="77777777" w:rsidR="0001592C" w:rsidRPr="00D81BA7" w:rsidRDefault="0001592C">
      <w:pPr>
        <w:rPr>
          <w:rFonts w:ascii="Palatino" w:hAnsi="Palatino"/>
          <w:szCs w:val="24"/>
        </w:rPr>
      </w:pPr>
    </w:p>
    <w:p w14:paraId="33112690" w14:textId="1DB9C075" w:rsidR="0001592C" w:rsidRDefault="00FB3CDB" w:rsidP="00BB6460">
      <w:pPr>
        <w:spacing w:before="240" w:line="360" w:lineRule="auto"/>
        <w:jc w:val="both"/>
        <w:rPr>
          <w:rFonts w:ascii="Palatino" w:hAnsi="Palatino"/>
          <w:szCs w:val="24"/>
        </w:rPr>
      </w:pPr>
      <w:r w:rsidRPr="00D81BA7">
        <w:rPr>
          <w:rFonts w:ascii="Palatino" w:hAnsi="Palatino"/>
          <w:szCs w:val="24"/>
        </w:rPr>
        <w:t xml:space="preserve">Nous avons réalisé en 2013 une enquête auprès des pédiatres libéraux installés dans l’est de la région PACA, entre Menton et Toulon. </w:t>
      </w:r>
      <w:r w:rsidR="00D81BA7" w:rsidRPr="00D81BA7">
        <w:rPr>
          <w:rFonts w:ascii="Palatino" w:hAnsi="Palatino"/>
          <w:szCs w:val="24"/>
        </w:rPr>
        <w:t>Le questionnaire élaboré pour l’occasion était volontairement simple (22 questions à réponses fermées</w:t>
      </w:r>
      <w:r w:rsidR="00D81BA7">
        <w:rPr>
          <w:rFonts w:ascii="Palatino" w:hAnsi="Palatino"/>
          <w:szCs w:val="24"/>
        </w:rPr>
        <w:t> : « D’accord », « Pas d’avis », « Pas d’accord »</w:t>
      </w:r>
      <w:r w:rsidR="00D81BA7" w:rsidRPr="00D81BA7">
        <w:rPr>
          <w:rFonts w:ascii="Palatino" w:hAnsi="Palatino"/>
          <w:szCs w:val="24"/>
        </w:rPr>
        <w:t>) pour pouvoir être rempli rapidement (10 minutes au maximum).</w:t>
      </w:r>
      <w:r w:rsidR="00D81BA7">
        <w:rPr>
          <w:rFonts w:ascii="Palatino" w:hAnsi="Palatino"/>
          <w:szCs w:val="24"/>
        </w:rPr>
        <w:t xml:space="preserve"> Le but de l’étude était de situer les pédiatres sur 5 domaines en rapport avec le TDAH :</w:t>
      </w:r>
    </w:p>
    <w:p w14:paraId="7721D34C" w14:textId="13EB9B4D" w:rsidR="00D81BA7" w:rsidRPr="00D81BA7" w:rsidRDefault="00D81BA7" w:rsidP="00D81BA7">
      <w:pPr>
        <w:pStyle w:val="Paragraphedeliste"/>
        <w:numPr>
          <w:ilvl w:val="0"/>
          <w:numId w:val="1"/>
        </w:numPr>
        <w:spacing w:before="240" w:line="360" w:lineRule="auto"/>
        <w:ind w:hanging="209"/>
        <w:jc w:val="both"/>
        <w:rPr>
          <w:rFonts w:ascii="Palatino" w:hAnsi="Palatino"/>
          <w:szCs w:val="24"/>
        </w:rPr>
      </w:pPr>
      <w:r w:rsidRPr="00D81BA7">
        <w:rPr>
          <w:rFonts w:ascii="Palatino" w:hAnsi="Palatino"/>
          <w:szCs w:val="24"/>
        </w:rPr>
        <w:t>le niveau de sensibilisation et de connaissance générale sur le TDAH</w:t>
      </w:r>
      <w:r>
        <w:rPr>
          <w:rFonts w:ascii="Palatino" w:hAnsi="Palatino"/>
          <w:szCs w:val="24"/>
        </w:rPr>
        <w:t xml:space="preserve"> (4 questions)</w:t>
      </w:r>
    </w:p>
    <w:p w14:paraId="67B3FB86" w14:textId="3411C006" w:rsidR="00D81BA7" w:rsidRDefault="00D81BA7" w:rsidP="00D81BA7">
      <w:pPr>
        <w:pStyle w:val="Paragraphedeliste"/>
        <w:numPr>
          <w:ilvl w:val="0"/>
          <w:numId w:val="1"/>
        </w:numPr>
        <w:spacing w:before="240" w:line="360" w:lineRule="auto"/>
        <w:ind w:hanging="209"/>
        <w:jc w:val="both"/>
        <w:rPr>
          <w:rFonts w:ascii="Palatino" w:hAnsi="Palatino"/>
          <w:szCs w:val="24"/>
        </w:rPr>
      </w:pPr>
      <w:r>
        <w:rPr>
          <w:rFonts w:ascii="Palatino" w:hAnsi="Palatino"/>
          <w:szCs w:val="24"/>
        </w:rPr>
        <w:t>l’épidémiologie (4 questions)</w:t>
      </w:r>
    </w:p>
    <w:p w14:paraId="5E7E7314" w14:textId="3773134E" w:rsidR="00D81BA7" w:rsidRDefault="00D81BA7" w:rsidP="00D81BA7">
      <w:pPr>
        <w:pStyle w:val="Paragraphedeliste"/>
        <w:numPr>
          <w:ilvl w:val="0"/>
          <w:numId w:val="1"/>
        </w:numPr>
        <w:spacing w:before="240" w:line="360" w:lineRule="auto"/>
        <w:ind w:hanging="209"/>
        <w:jc w:val="both"/>
        <w:rPr>
          <w:rFonts w:ascii="Palatino" w:hAnsi="Palatino"/>
          <w:szCs w:val="24"/>
        </w:rPr>
      </w:pPr>
      <w:r>
        <w:rPr>
          <w:rFonts w:ascii="Palatino" w:hAnsi="Palatino"/>
          <w:szCs w:val="24"/>
        </w:rPr>
        <w:t>les étiologies (6 questions dont 2 permettant d’évaluer l’</w:t>
      </w:r>
      <w:r w:rsidRPr="00D81BA7">
        <w:rPr>
          <w:rFonts w:ascii="Palatino" w:hAnsi="Palatino"/>
          <w:i/>
          <w:szCs w:val="24"/>
        </w:rPr>
        <w:t>a-priori</w:t>
      </w:r>
      <w:r>
        <w:rPr>
          <w:rFonts w:ascii="Palatino" w:hAnsi="Palatino"/>
          <w:szCs w:val="24"/>
        </w:rPr>
        <w:t xml:space="preserve"> conceptuel du pédiatre)</w:t>
      </w:r>
    </w:p>
    <w:p w14:paraId="28008664" w14:textId="5AA944EE" w:rsidR="00D81BA7" w:rsidRDefault="00D81BA7" w:rsidP="00D81BA7">
      <w:pPr>
        <w:pStyle w:val="Paragraphedeliste"/>
        <w:numPr>
          <w:ilvl w:val="0"/>
          <w:numId w:val="1"/>
        </w:numPr>
        <w:spacing w:before="240" w:line="360" w:lineRule="auto"/>
        <w:ind w:hanging="209"/>
        <w:jc w:val="both"/>
        <w:rPr>
          <w:rFonts w:ascii="Palatino" w:hAnsi="Palatino"/>
          <w:szCs w:val="24"/>
        </w:rPr>
      </w:pPr>
      <w:r>
        <w:rPr>
          <w:rFonts w:ascii="Palatino" w:hAnsi="Palatino"/>
          <w:szCs w:val="24"/>
        </w:rPr>
        <w:t>la présentation clinique (3 questions)</w:t>
      </w:r>
    </w:p>
    <w:p w14:paraId="56D8EA81" w14:textId="2AC65825" w:rsidR="00D81BA7" w:rsidRPr="00D81BA7" w:rsidRDefault="00D81BA7" w:rsidP="00D81BA7">
      <w:pPr>
        <w:pStyle w:val="Paragraphedeliste"/>
        <w:numPr>
          <w:ilvl w:val="0"/>
          <w:numId w:val="1"/>
        </w:numPr>
        <w:spacing w:before="240" w:line="360" w:lineRule="auto"/>
        <w:ind w:hanging="209"/>
        <w:jc w:val="both"/>
        <w:rPr>
          <w:rFonts w:ascii="Palatino" w:hAnsi="Palatino"/>
          <w:szCs w:val="24"/>
        </w:rPr>
      </w:pPr>
      <w:r>
        <w:rPr>
          <w:rFonts w:ascii="Palatino" w:hAnsi="Palatino"/>
          <w:szCs w:val="24"/>
        </w:rPr>
        <w:t>les traitements (5 questions).</w:t>
      </w:r>
    </w:p>
    <w:p w14:paraId="73A7EA7A" w14:textId="5A50C396" w:rsidR="00D81BA7" w:rsidRDefault="003D143E" w:rsidP="00D81BA7">
      <w:pPr>
        <w:spacing w:before="240" w:line="360" w:lineRule="auto"/>
        <w:jc w:val="both"/>
        <w:rPr>
          <w:rFonts w:ascii="Palatino" w:hAnsi="Palatino"/>
          <w:szCs w:val="24"/>
        </w:rPr>
      </w:pPr>
      <w:r>
        <w:rPr>
          <w:rFonts w:ascii="Palatino" w:hAnsi="Palatino"/>
          <w:szCs w:val="24"/>
        </w:rPr>
        <w:t xml:space="preserve">57 </w:t>
      </w:r>
      <w:r w:rsidR="00C65A35">
        <w:rPr>
          <w:rFonts w:ascii="Palatino" w:hAnsi="Palatino"/>
          <w:szCs w:val="24"/>
        </w:rPr>
        <w:t>pédiatres installés en PACA-Est</w:t>
      </w:r>
      <w:r>
        <w:rPr>
          <w:rFonts w:ascii="Palatino" w:hAnsi="Palatino"/>
          <w:szCs w:val="24"/>
        </w:rPr>
        <w:t xml:space="preserve"> (70,4%) </w:t>
      </w:r>
      <w:r w:rsidR="00C65A35">
        <w:rPr>
          <w:rFonts w:ascii="Palatino" w:hAnsi="Palatino"/>
          <w:szCs w:val="24"/>
        </w:rPr>
        <w:t>ont répondu de manière anonyme à cette enquête. Par rapport aux hommes, les femmes étaient plus jeunes (55,5 ans vs. 58 ans en médiane) et exerçaient depuis moins longtemps (20 ans vs. 26 ans en médiane)</w:t>
      </w:r>
      <w:r w:rsidR="002648D0">
        <w:rPr>
          <w:rFonts w:ascii="Palatino" w:hAnsi="Palatino"/>
          <w:szCs w:val="24"/>
        </w:rPr>
        <w:t>. Quinze pédiatres dont 6 femmes exerçaient depuis plus de 30 ans.</w:t>
      </w:r>
      <w:r w:rsidR="00D8066A">
        <w:rPr>
          <w:rFonts w:ascii="Palatino" w:hAnsi="Palatino"/>
          <w:szCs w:val="24"/>
        </w:rPr>
        <w:t xml:space="preserve"> Il s’agit donc d’une population relativement âgée mais </w:t>
      </w:r>
      <w:r w:rsidR="00DD61B7">
        <w:rPr>
          <w:rFonts w:ascii="Palatino" w:hAnsi="Palatino"/>
          <w:szCs w:val="24"/>
        </w:rPr>
        <w:t xml:space="preserve">plutôt </w:t>
      </w:r>
      <w:r w:rsidR="00D8066A">
        <w:rPr>
          <w:rFonts w:ascii="Palatino" w:hAnsi="Palatino"/>
          <w:szCs w:val="24"/>
        </w:rPr>
        <w:t>représentative de la pyramide des âges des médecins libéraux en PACA.</w:t>
      </w:r>
    </w:p>
    <w:p w14:paraId="2EB24C98" w14:textId="71981D99" w:rsidR="00042814" w:rsidRDefault="005341A9" w:rsidP="00D81BA7">
      <w:pPr>
        <w:spacing w:before="240" w:line="360" w:lineRule="auto"/>
        <w:jc w:val="both"/>
        <w:rPr>
          <w:rFonts w:ascii="Palatino" w:hAnsi="Palatino"/>
          <w:szCs w:val="24"/>
        </w:rPr>
      </w:pPr>
      <w:r>
        <w:rPr>
          <w:rFonts w:ascii="Palatino" w:hAnsi="Palatino"/>
          <w:szCs w:val="24"/>
        </w:rPr>
        <w:t xml:space="preserve">Si </w:t>
      </w:r>
      <w:r w:rsidR="00042814">
        <w:rPr>
          <w:rFonts w:ascii="Palatino" w:hAnsi="Palatino"/>
          <w:szCs w:val="24"/>
        </w:rPr>
        <w:t>9 pédiatres disaient n’avoir aucun patient avec TDAH, deux-tiers des autres renouvelaient des prescriptions hospitalières de méthylphénidate.</w:t>
      </w:r>
      <w:r w:rsidR="006E2CD1">
        <w:rPr>
          <w:rFonts w:ascii="Palatino" w:hAnsi="Palatino"/>
          <w:szCs w:val="24"/>
        </w:rPr>
        <w:t xml:space="preserve"> </w:t>
      </w:r>
      <w:r w:rsidR="000462AB">
        <w:rPr>
          <w:rFonts w:ascii="Palatino" w:hAnsi="Palatino"/>
          <w:szCs w:val="24"/>
        </w:rPr>
        <w:t>85%</w:t>
      </w:r>
      <w:r w:rsidR="006E2CD1">
        <w:rPr>
          <w:rFonts w:ascii="Palatino" w:hAnsi="Palatino"/>
          <w:szCs w:val="24"/>
        </w:rPr>
        <w:t xml:space="preserve"> des pédiatres </w:t>
      </w:r>
      <w:r w:rsidR="000462AB">
        <w:rPr>
          <w:rFonts w:ascii="Palatino" w:hAnsi="Palatino"/>
          <w:szCs w:val="24"/>
        </w:rPr>
        <w:t>suivant des patients avec TDAH</w:t>
      </w:r>
      <w:r w:rsidR="006E2CD1">
        <w:rPr>
          <w:rFonts w:ascii="Palatino" w:hAnsi="Palatino"/>
          <w:szCs w:val="24"/>
        </w:rPr>
        <w:t xml:space="preserve"> </w:t>
      </w:r>
      <w:r w:rsidR="00D90794">
        <w:rPr>
          <w:rFonts w:ascii="Palatino" w:hAnsi="Palatino"/>
          <w:szCs w:val="24"/>
        </w:rPr>
        <w:t xml:space="preserve">(et 60% des pédiatres prescripteurs) </w:t>
      </w:r>
      <w:r w:rsidR="006E2CD1">
        <w:rPr>
          <w:rFonts w:ascii="Palatino" w:hAnsi="Palatino"/>
          <w:szCs w:val="24"/>
        </w:rPr>
        <w:t>reconnaissaient que leur formation sur le TDAH était insuffisante</w:t>
      </w:r>
      <w:r w:rsidR="00D90794">
        <w:rPr>
          <w:rFonts w:ascii="Palatino" w:hAnsi="Palatino"/>
          <w:szCs w:val="24"/>
        </w:rPr>
        <w:t>.</w:t>
      </w:r>
      <w:r w:rsidR="000720C0">
        <w:rPr>
          <w:rFonts w:ascii="Palatino" w:hAnsi="Palatino"/>
          <w:szCs w:val="24"/>
        </w:rPr>
        <w:t xml:space="preserve"> La quasi-totalité avai</w:t>
      </w:r>
      <w:r w:rsidR="00F32F51">
        <w:rPr>
          <w:rFonts w:ascii="Palatino" w:hAnsi="Palatino"/>
          <w:szCs w:val="24"/>
        </w:rPr>
        <w:t>t recherché des informations par eux-mêmes</w:t>
      </w:r>
      <w:r w:rsidR="000720C0">
        <w:rPr>
          <w:rFonts w:ascii="Palatino" w:hAnsi="Palatino"/>
          <w:szCs w:val="24"/>
        </w:rPr>
        <w:t xml:space="preserve"> dans des articles scientifiques.</w:t>
      </w:r>
    </w:p>
    <w:p w14:paraId="7B90F1EE" w14:textId="77777777" w:rsidR="00B66F44" w:rsidRDefault="00B22327" w:rsidP="00B66F44">
      <w:pPr>
        <w:spacing w:before="240" w:line="360" w:lineRule="auto"/>
        <w:jc w:val="both"/>
        <w:rPr>
          <w:rFonts w:ascii="Palatino" w:hAnsi="Palatino"/>
          <w:szCs w:val="24"/>
        </w:rPr>
      </w:pPr>
      <w:r>
        <w:rPr>
          <w:rFonts w:ascii="Palatino" w:hAnsi="Palatino"/>
          <w:szCs w:val="24"/>
        </w:rPr>
        <w:t>Le tableau montre les pourcentages de réponse ; la réponse attendue est en rouge.</w:t>
      </w:r>
      <w:r w:rsidR="00F40C66">
        <w:rPr>
          <w:rFonts w:ascii="Palatino" w:hAnsi="Palatino"/>
          <w:szCs w:val="24"/>
        </w:rPr>
        <w:t xml:space="preserve"> La moitié des pédiatres interrogés ne savent pas si le TDAH a une origine génétique, </w:t>
      </w:r>
      <w:r w:rsidR="00262D65">
        <w:rPr>
          <w:rFonts w:ascii="Palatino" w:hAnsi="Palatino"/>
          <w:szCs w:val="24"/>
        </w:rPr>
        <w:t xml:space="preserve">un sur cinq ne sait pas s’il s’agit d’un trouble sociétal, </w:t>
      </w:r>
      <w:r w:rsidR="00F40C66">
        <w:rPr>
          <w:rFonts w:ascii="Palatino" w:hAnsi="Palatino"/>
          <w:szCs w:val="24"/>
        </w:rPr>
        <w:t xml:space="preserve">un tiers ne sait pas s’il persiste à l’âge adulte, </w:t>
      </w:r>
      <w:r w:rsidR="00516E26">
        <w:rPr>
          <w:rFonts w:ascii="Palatino" w:hAnsi="Palatino"/>
          <w:szCs w:val="24"/>
        </w:rPr>
        <w:t>un tiers ne sait pas si le TDAH est reconnu comme une situation de handicap en France et un quart ne sait pas s’il faudrait prescrire un anxiolytique ou un sédatif.</w:t>
      </w:r>
    </w:p>
    <w:p w14:paraId="3E37F0EC" w14:textId="6563B6B0" w:rsidR="00AD05F9" w:rsidRDefault="00B66F44" w:rsidP="00B66F44">
      <w:pPr>
        <w:spacing w:before="240" w:line="360" w:lineRule="auto"/>
        <w:jc w:val="both"/>
        <w:rPr>
          <w:rFonts w:ascii="Palatino" w:hAnsi="Palatino"/>
          <w:szCs w:val="24"/>
        </w:rPr>
      </w:pPr>
      <w:r>
        <w:rPr>
          <w:rFonts w:ascii="Palatino" w:hAnsi="Palatino"/>
          <w:szCs w:val="24"/>
        </w:rPr>
        <w:lastRenderedPageBreak/>
        <w:t xml:space="preserve">Globalement, les résultats de cette étude montrent que les connaissances sur le TDAH des pédiatres libéraux de PACA-Est </w:t>
      </w:r>
      <w:r w:rsidR="00B66866">
        <w:rPr>
          <w:rFonts w:ascii="Palatino" w:hAnsi="Palatino"/>
          <w:szCs w:val="24"/>
        </w:rPr>
        <w:t>sont</w:t>
      </w:r>
      <w:r>
        <w:rPr>
          <w:rFonts w:ascii="Palatino" w:hAnsi="Palatino"/>
          <w:szCs w:val="24"/>
        </w:rPr>
        <w:t xml:space="preserve"> insuffisant</w:t>
      </w:r>
      <w:r w:rsidR="00C657AE">
        <w:rPr>
          <w:rFonts w:ascii="Palatino" w:hAnsi="Palatino"/>
          <w:szCs w:val="24"/>
        </w:rPr>
        <w:t>e</w:t>
      </w:r>
      <w:r w:rsidR="00B66866">
        <w:rPr>
          <w:rFonts w:ascii="Palatino" w:hAnsi="Palatino"/>
          <w:szCs w:val="24"/>
        </w:rPr>
        <w:t>s</w:t>
      </w:r>
      <w:r>
        <w:rPr>
          <w:rFonts w:ascii="Palatino" w:hAnsi="Palatino"/>
          <w:szCs w:val="24"/>
        </w:rPr>
        <w:t>. Certains chiffres sont même</w:t>
      </w:r>
      <w:r w:rsidR="00B66866">
        <w:rPr>
          <w:rFonts w:ascii="Palatino" w:hAnsi="Palatino"/>
          <w:szCs w:val="24"/>
        </w:rPr>
        <w:t xml:space="preserve"> inquiétants. Trois-quarts pensent que le TDAH est le reflet d’un inquiétude maternelle, un sur six de lacunes éducatives, un tiers qu’il s’agit d’un trouble sociétal et un quart d’un trouble importé... </w:t>
      </w:r>
      <w:r w:rsidR="00C14A06">
        <w:rPr>
          <w:rFonts w:ascii="Palatino" w:hAnsi="Palatino"/>
          <w:szCs w:val="24"/>
        </w:rPr>
        <w:t xml:space="preserve">Si le TDAH a des conséquences à long terme pour 70% des pédiatres, 60% pensent </w:t>
      </w:r>
      <w:r w:rsidR="00D16269">
        <w:rPr>
          <w:rFonts w:ascii="Palatino" w:hAnsi="Palatino"/>
          <w:szCs w:val="24"/>
        </w:rPr>
        <w:t xml:space="preserve">néanmoins </w:t>
      </w:r>
      <w:r w:rsidR="00C14A06">
        <w:rPr>
          <w:rFonts w:ascii="Palatino" w:hAnsi="Palatino"/>
          <w:szCs w:val="24"/>
        </w:rPr>
        <w:t>qu’il disparaît à l’âge adulte. Si le TDAH débute avant le primaire pour 86% des pédiatres</w:t>
      </w:r>
      <w:r w:rsidR="00D16269">
        <w:rPr>
          <w:rFonts w:ascii="Palatino" w:hAnsi="Palatino"/>
          <w:szCs w:val="24"/>
        </w:rPr>
        <w:t>, un pédiatre sur deux pense qu’il est rare.</w:t>
      </w:r>
      <w:r w:rsidR="007C4818">
        <w:rPr>
          <w:rFonts w:ascii="Palatino" w:hAnsi="Palatino"/>
          <w:szCs w:val="24"/>
        </w:rPr>
        <w:t xml:space="preserve"> Si quasiment tous les pédiatres reconnaissent que le TDAH comporte </w:t>
      </w:r>
      <w:r w:rsidR="003F45FB">
        <w:rPr>
          <w:rFonts w:ascii="Palatino" w:hAnsi="Palatino"/>
          <w:szCs w:val="24"/>
        </w:rPr>
        <w:t>une agitation motrice et des troubles cognitifs (et donc ignorent la présentation inattentive prédominante majoritaire chez les filles)</w:t>
      </w:r>
      <w:r w:rsidR="00A23428">
        <w:rPr>
          <w:rFonts w:ascii="Palatino" w:hAnsi="Palatino"/>
          <w:szCs w:val="24"/>
        </w:rPr>
        <w:t>, 40% rejettent le diagnostic si l’enfant est décrit comme calme et concentré sur des jeux vidéo et 61% si l’enfant est calme pendant la consultation (malgré la description que font les parents de son comportement).</w:t>
      </w:r>
      <w:r w:rsidR="00043296">
        <w:rPr>
          <w:rFonts w:ascii="Palatino" w:hAnsi="Palatino"/>
          <w:szCs w:val="24"/>
        </w:rPr>
        <w:t xml:space="preserve"> Un tiers des pédiatres ne sait pas que le TDAH est reconnu comme un handicap invisible, 40% pensent que les enfants avec TDAH relève d’une éducation spéciale (par exemple, ULIS, ITEP, IME), 20% que les traitements sont instaurés à la demande de l’entourage (malgré une prescription initiale hospitalière réservée aux neurologues et aux psychiatres), et un sur six pensent que les psychostimulants sont nocifs et qu’il faudrait prescrire des anxiolytiques ou des traitements sédatifs.</w:t>
      </w:r>
    </w:p>
    <w:p w14:paraId="51103310" w14:textId="5A5D5E41" w:rsidR="00D33671" w:rsidRDefault="00E4170B" w:rsidP="00B66F44">
      <w:pPr>
        <w:spacing w:before="240" w:line="360" w:lineRule="auto"/>
        <w:jc w:val="both"/>
        <w:rPr>
          <w:rFonts w:ascii="Palatino" w:hAnsi="Palatino"/>
          <w:szCs w:val="24"/>
        </w:rPr>
      </w:pPr>
      <w:r>
        <w:rPr>
          <w:rFonts w:ascii="Palatino" w:hAnsi="Palatino"/>
          <w:szCs w:val="24"/>
        </w:rPr>
        <w:t>Cette étude devrait être répliquée à l’échelle nationale en modifiant certaines questions et pourrait s’adresser à d’autres spécialités médicales (par exemple, les médecins généralistes). Une étude similaire chez les enseignants pour</w:t>
      </w:r>
      <w:r w:rsidR="00CF48FA">
        <w:rPr>
          <w:rFonts w:ascii="Palatino" w:hAnsi="Palatino"/>
          <w:szCs w:val="24"/>
        </w:rPr>
        <w:t>rai</w:t>
      </w:r>
      <w:bookmarkStart w:id="0" w:name="_GoBack"/>
      <w:bookmarkEnd w:id="0"/>
      <w:r>
        <w:rPr>
          <w:rFonts w:ascii="Palatino" w:hAnsi="Palatino"/>
          <w:szCs w:val="24"/>
        </w:rPr>
        <w:t xml:space="preserve">t ramener des résultats </w:t>
      </w:r>
      <w:r w:rsidR="00EC7876">
        <w:rPr>
          <w:rFonts w:ascii="Palatino" w:hAnsi="Palatino"/>
          <w:szCs w:val="24"/>
        </w:rPr>
        <w:t xml:space="preserve">tout aussi </w:t>
      </w:r>
      <w:r>
        <w:rPr>
          <w:rFonts w:ascii="Palatino" w:hAnsi="Palatino"/>
          <w:szCs w:val="24"/>
        </w:rPr>
        <w:t>intéressants...</w:t>
      </w:r>
    </w:p>
    <w:p w14:paraId="3689459A" w14:textId="77777777" w:rsidR="00E4170B" w:rsidRDefault="00E4170B" w:rsidP="00B66F44">
      <w:pPr>
        <w:spacing w:before="240" w:line="360" w:lineRule="auto"/>
        <w:jc w:val="both"/>
        <w:rPr>
          <w:rFonts w:ascii="Palatino" w:hAnsi="Palatino"/>
          <w:szCs w:val="24"/>
        </w:rPr>
      </w:pPr>
    </w:p>
    <w:tbl>
      <w:tblPr>
        <w:tblStyle w:val="Listeclaire-Accent3"/>
        <w:tblW w:w="0" w:type="auto"/>
        <w:tblLook w:val="04A0" w:firstRow="1" w:lastRow="0" w:firstColumn="1" w:lastColumn="0" w:noHBand="0" w:noVBand="1"/>
      </w:tblPr>
      <w:tblGrid>
        <w:gridCol w:w="1561"/>
        <w:gridCol w:w="2448"/>
        <w:gridCol w:w="1067"/>
        <w:gridCol w:w="1495"/>
        <w:gridCol w:w="1250"/>
        <w:gridCol w:w="1465"/>
      </w:tblGrid>
      <w:tr w:rsidR="001F58E2" w:rsidRPr="004806C7" w14:paraId="4816E760" w14:textId="7B333FD4" w:rsidTr="004C08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14:paraId="5E2BED9B" w14:textId="25B44CCD" w:rsidR="00F574D9" w:rsidRPr="008E5DEE" w:rsidRDefault="00F574D9" w:rsidP="002567B4">
            <w:pPr>
              <w:spacing w:before="60" w:after="60"/>
              <w:jc w:val="center"/>
              <w:rPr>
                <w:rFonts w:ascii="Palatino" w:hAnsi="Palatino"/>
                <w:sz w:val="20"/>
              </w:rPr>
            </w:pPr>
            <w:r w:rsidRPr="008E5DEE">
              <w:rPr>
                <w:rFonts w:ascii="Palatino" w:hAnsi="Palatino"/>
                <w:sz w:val="20"/>
              </w:rPr>
              <w:t>Domaine</w:t>
            </w:r>
          </w:p>
        </w:tc>
        <w:tc>
          <w:tcPr>
            <w:tcW w:w="2448" w:type="dxa"/>
          </w:tcPr>
          <w:p w14:paraId="56473DEE" w14:textId="10F31FDB" w:rsidR="00F574D9" w:rsidRPr="008E5DEE" w:rsidRDefault="00F574D9" w:rsidP="002567B4">
            <w:pPr>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sz w:val="20"/>
              </w:rPr>
            </w:pPr>
            <w:r w:rsidRPr="008E5DEE">
              <w:rPr>
                <w:rFonts w:ascii="Palatino" w:hAnsi="Palatino"/>
                <w:sz w:val="20"/>
              </w:rPr>
              <w:t>Question</w:t>
            </w:r>
          </w:p>
        </w:tc>
        <w:tc>
          <w:tcPr>
            <w:tcW w:w="0" w:type="auto"/>
          </w:tcPr>
          <w:p w14:paraId="061FBF83" w14:textId="4CAA6A68" w:rsidR="00F574D9" w:rsidRPr="008E5DEE" w:rsidRDefault="00F574D9" w:rsidP="002567B4">
            <w:pPr>
              <w:spacing w:before="60" w:after="60"/>
              <w:ind w:left="-105"/>
              <w:jc w:val="center"/>
              <w:cnfStyle w:val="100000000000" w:firstRow="1" w:lastRow="0" w:firstColumn="0" w:lastColumn="0" w:oddVBand="0" w:evenVBand="0" w:oddHBand="0" w:evenHBand="0" w:firstRowFirstColumn="0" w:firstRowLastColumn="0" w:lastRowFirstColumn="0" w:lastRowLastColumn="0"/>
              <w:rPr>
                <w:rFonts w:ascii="Palatino" w:hAnsi="Palatino"/>
                <w:sz w:val="20"/>
              </w:rPr>
            </w:pPr>
            <w:r w:rsidRPr="008E5DEE">
              <w:rPr>
                <w:rFonts w:ascii="Palatino" w:hAnsi="Palatino"/>
                <w:sz w:val="20"/>
              </w:rPr>
              <w:t>% d’accord</w:t>
            </w:r>
          </w:p>
        </w:tc>
        <w:tc>
          <w:tcPr>
            <w:tcW w:w="0" w:type="auto"/>
          </w:tcPr>
          <w:p w14:paraId="0B02B539" w14:textId="5F54A390" w:rsidR="00F574D9" w:rsidRPr="008E5DEE" w:rsidRDefault="00F574D9" w:rsidP="002567B4">
            <w:pPr>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sz w:val="20"/>
              </w:rPr>
            </w:pPr>
            <w:r w:rsidRPr="008E5DEE">
              <w:rPr>
                <w:rFonts w:ascii="Palatino" w:hAnsi="Palatino"/>
                <w:sz w:val="20"/>
              </w:rPr>
              <w:t>% pas d’accord</w:t>
            </w:r>
          </w:p>
        </w:tc>
        <w:tc>
          <w:tcPr>
            <w:tcW w:w="0" w:type="auto"/>
          </w:tcPr>
          <w:p w14:paraId="01EEFAC4" w14:textId="557D66FC" w:rsidR="00F574D9" w:rsidRPr="008E5DEE" w:rsidRDefault="00F574D9" w:rsidP="002567B4">
            <w:pPr>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sz w:val="20"/>
              </w:rPr>
            </w:pPr>
            <w:r w:rsidRPr="008E5DEE">
              <w:rPr>
                <w:rFonts w:ascii="Palatino" w:hAnsi="Palatino"/>
                <w:sz w:val="20"/>
              </w:rPr>
              <w:t>% pas d’avis</w:t>
            </w:r>
          </w:p>
        </w:tc>
        <w:tc>
          <w:tcPr>
            <w:tcW w:w="0" w:type="auto"/>
          </w:tcPr>
          <w:p w14:paraId="7824A392" w14:textId="732C857E" w:rsidR="00F574D9" w:rsidRPr="008E5DEE" w:rsidRDefault="00F574D9" w:rsidP="002567B4">
            <w:pPr>
              <w:spacing w:before="60" w:after="60"/>
              <w:jc w:val="center"/>
              <w:cnfStyle w:val="100000000000" w:firstRow="1" w:lastRow="0" w:firstColumn="0" w:lastColumn="0" w:oddVBand="0" w:evenVBand="0" w:oddHBand="0" w:evenHBand="0" w:firstRowFirstColumn="0" w:firstRowLastColumn="0" w:lastRowFirstColumn="0" w:lastRowLastColumn="0"/>
              <w:rPr>
                <w:rFonts w:ascii="Palatino" w:hAnsi="Palatino"/>
                <w:sz w:val="20"/>
              </w:rPr>
            </w:pPr>
            <w:r w:rsidRPr="008E5DEE">
              <w:rPr>
                <w:rFonts w:ascii="Palatino" w:hAnsi="Palatino"/>
                <w:sz w:val="20"/>
              </w:rPr>
              <w:t>Pas de réponse</w:t>
            </w:r>
          </w:p>
        </w:tc>
      </w:tr>
      <w:tr w:rsidR="008E5DEE" w:rsidRPr="004806C7" w14:paraId="08100915" w14:textId="30A4061C" w:rsidTr="0025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vAlign w:val="center"/>
          </w:tcPr>
          <w:p w14:paraId="31B7343B" w14:textId="1FFB3378" w:rsidR="00AD05F9" w:rsidRPr="004806C7" w:rsidRDefault="00AD05F9" w:rsidP="002567B4">
            <w:pPr>
              <w:spacing w:before="60" w:after="60"/>
              <w:jc w:val="center"/>
              <w:rPr>
                <w:rFonts w:ascii="Palatino" w:hAnsi="Palatino"/>
                <w:sz w:val="20"/>
              </w:rPr>
            </w:pPr>
            <w:r w:rsidRPr="004806C7">
              <w:rPr>
                <w:rFonts w:ascii="Palatino" w:hAnsi="Palatino"/>
                <w:sz w:val="20"/>
              </w:rPr>
              <w:t>Etiologie</w:t>
            </w:r>
          </w:p>
        </w:tc>
        <w:tc>
          <w:tcPr>
            <w:tcW w:w="2448" w:type="dxa"/>
          </w:tcPr>
          <w:p w14:paraId="5C5B8A8E" w14:textId="02F25505" w:rsidR="00AD05F9" w:rsidRPr="004806C7" w:rsidRDefault="00AD05F9"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Génétique</w:t>
            </w:r>
          </w:p>
        </w:tc>
        <w:tc>
          <w:tcPr>
            <w:tcW w:w="0" w:type="auto"/>
          </w:tcPr>
          <w:p w14:paraId="3EDF6298" w14:textId="666D5CA2" w:rsidR="00AD05F9" w:rsidRPr="006F3B2B" w:rsidRDefault="00AD05F9"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6F3B2B">
              <w:rPr>
                <w:rFonts w:ascii="Palatino" w:hAnsi="Palatino"/>
                <w:color w:val="FF0000"/>
                <w:sz w:val="20"/>
              </w:rPr>
              <w:t>47,07</w:t>
            </w:r>
          </w:p>
        </w:tc>
        <w:tc>
          <w:tcPr>
            <w:tcW w:w="0" w:type="auto"/>
          </w:tcPr>
          <w:p w14:paraId="1AD64879" w14:textId="0C87A485" w:rsidR="00AD05F9" w:rsidRPr="004806C7" w:rsidRDefault="00AD05F9"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10,71</w:t>
            </w:r>
          </w:p>
        </w:tc>
        <w:tc>
          <w:tcPr>
            <w:tcW w:w="0" w:type="auto"/>
          </w:tcPr>
          <w:p w14:paraId="29A708F9" w14:textId="4ABF4AD9" w:rsidR="00AD05F9" w:rsidRPr="004806C7" w:rsidRDefault="00AD05F9"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48,21</w:t>
            </w:r>
          </w:p>
        </w:tc>
        <w:tc>
          <w:tcPr>
            <w:tcW w:w="0" w:type="auto"/>
          </w:tcPr>
          <w:p w14:paraId="1F8B3392" w14:textId="64AEB413" w:rsidR="00AD05F9" w:rsidRPr="004806C7" w:rsidRDefault="00AD05F9"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1</w:t>
            </w:r>
          </w:p>
        </w:tc>
      </w:tr>
      <w:tr w:rsidR="008E5DEE" w:rsidRPr="004806C7" w14:paraId="72C63EAB" w14:textId="3A4621E2" w:rsidTr="002567B4">
        <w:tc>
          <w:tcPr>
            <w:cnfStyle w:val="001000000000" w:firstRow="0" w:lastRow="0" w:firstColumn="1" w:lastColumn="0" w:oddVBand="0" w:evenVBand="0" w:oddHBand="0" w:evenHBand="0" w:firstRowFirstColumn="0" w:firstRowLastColumn="0" w:lastRowFirstColumn="0" w:lastRowLastColumn="0"/>
            <w:tcW w:w="0" w:type="auto"/>
            <w:vMerge/>
          </w:tcPr>
          <w:p w14:paraId="6A392F30" w14:textId="77777777" w:rsidR="00FC541D" w:rsidRPr="004806C7" w:rsidRDefault="00FC541D" w:rsidP="002567B4">
            <w:pPr>
              <w:spacing w:before="60" w:after="60"/>
              <w:jc w:val="both"/>
              <w:rPr>
                <w:rFonts w:ascii="Palatino" w:hAnsi="Palatino"/>
                <w:sz w:val="20"/>
              </w:rPr>
            </w:pPr>
          </w:p>
        </w:tc>
        <w:tc>
          <w:tcPr>
            <w:tcW w:w="2448" w:type="dxa"/>
          </w:tcPr>
          <w:p w14:paraId="2ED425FF" w14:textId="0EC566E2" w:rsidR="00FC541D" w:rsidRPr="004806C7" w:rsidRDefault="00FC541D"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Dépression</w:t>
            </w:r>
          </w:p>
        </w:tc>
        <w:tc>
          <w:tcPr>
            <w:tcW w:w="0" w:type="auto"/>
          </w:tcPr>
          <w:p w14:paraId="1BC26E26" w14:textId="27A73A14"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8,77</w:t>
            </w:r>
          </w:p>
        </w:tc>
        <w:tc>
          <w:tcPr>
            <w:tcW w:w="0" w:type="auto"/>
          </w:tcPr>
          <w:p w14:paraId="0D08585D" w14:textId="556BE389" w:rsidR="00FC541D" w:rsidRPr="006F3B2B"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sidRPr="006F3B2B">
              <w:rPr>
                <w:rFonts w:ascii="Palatino" w:hAnsi="Palatino"/>
                <w:color w:val="FF0000"/>
                <w:sz w:val="20"/>
              </w:rPr>
              <w:t>68,42</w:t>
            </w:r>
          </w:p>
        </w:tc>
        <w:tc>
          <w:tcPr>
            <w:tcW w:w="0" w:type="auto"/>
          </w:tcPr>
          <w:p w14:paraId="14328FE0" w14:textId="2704E98B"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22,81</w:t>
            </w:r>
          </w:p>
        </w:tc>
        <w:tc>
          <w:tcPr>
            <w:tcW w:w="0" w:type="auto"/>
          </w:tcPr>
          <w:p w14:paraId="2F8EBDA2" w14:textId="02804D1F"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0</w:t>
            </w:r>
          </w:p>
        </w:tc>
      </w:tr>
      <w:tr w:rsidR="008E5DEE" w:rsidRPr="004806C7" w14:paraId="71D2C1F5" w14:textId="120DC439" w:rsidTr="0025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3A5F0C19" w14:textId="77777777" w:rsidR="00FC541D" w:rsidRPr="004806C7" w:rsidRDefault="00FC541D" w:rsidP="002567B4">
            <w:pPr>
              <w:spacing w:before="60" w:after="60"/>
              <w:jc w:val="both"/>
              <w:rPr>
                <w:rFonts w:ascii="Palatino" w:hAnsi="Palatino"/>
                <w:sz w:val="20"/>
              </w:rPr>
            </w:pPr>
          </w:p>
        </w:tc>
        <w:tc>
          <w:tcPr>
            <w:tcW w:w="2448" w:type="dxa"/>
          </w:tcPr>
          <w:p w14:paraId="6B5FFD29" w14:textId="4608B3BC" w:rsidR="00FC541D" w:rsidRPr="004806C7" w:rsidRDefault="00FC541D"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Inquiétude maternelle</w:t>
            </w:r>
          </w:p>
        </w:tc>
        <w:tc>
          <w:tcPr>
            <w:tcW w:w="0" w:type="auto"/>
          </w:tcPr>
          <w:p w14:paraId="5C80052E" w14:textId="0F1B46A7" w:rsidR="00FC541D" w:rsidRPr="004806C7"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77,19</w:t>
            </w:r>
          </w:p>
        </w:tc>
        <w:tc>
          <w:tcPr>
            <w:tcW w:w="0" w:type="auto"/>
          </w:tcPr>
          <w:p w14:paraId="36539625" w14:textId="2472247A" w:rsidR="00FC541D" w:rsidRPr="006F3B2B"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6F3B2B">
              <w:rPr>
                <w:rFonts w:ascii="Palatino" w:hAnsi="Palatino"/>
                <w:color w:val="FF0000"/>
                <w:sz w:val="20"/>
              </w:rPr>
              <w:t>17,54</w:t>
            </w:r>
          </w:p>
        </w:tc>
        <w:tc>
          <w:tcPr>
            <w:tcW w:w="0" w:type="auto"/>
          </w:tcPr>
          <w:p w14:paraId="3FB3DA84" w14:textId="49EE2274" w:rsidR="00FC541D" w:rsidRPr="004806C7"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5,26</w:t>
            </w:r>
          </w:p>
        </w:tc>
        <w:tc>
          <w:tcPr>
            <w:tcW w:w="0" w:type="auto"/>
          </w:tcPr>
          <w:p w14:paraId="352D866A" w14:textId="4FAC9694" w:rsidR="00FC541D" w:rsidRPr="004806C7"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0</w:t>
            </w:r>
          </w:p>
        </w:tc>
      </w:tr>
      <w:tr w:rsidR="008E5DEE" w:rsidRPr="004806C7" w14:paraId="74AB024E" w14:textId="2E8A63D4" w:rsidTr="002567B4">
        <w:tc>
          <w:tcPr>
            <w:cnfStyle w:val="001000000000" w:firstRow="0" w:lastRow="0" w:firstColumn="1" w:lastColumn="0" w:oddVBand="0" w:evenVBand="0" w:oddHBand="0" w:evenHBand="0" w:firstRowFirstColumn="0" w:firstRowLastColumn="0" w:lastRowFirstColumn="0" w:lastRowLastColumn="0"/>
            <w:tcW w:w="0" w:type="auto"/>
            <w:vMerge/>
          </w:tcPr>
          <w:p w14:paraId="3D67C333" w14:textId="77777777" w:rsidR="00FC541D" w:rsidRPr="004806C7" w:rsidRDefault="00FC541D" w:rsidP="002567B4">
            <w:pPr>
              <w:spacing w:before="60" w:after="60"/>
              <w:jc w:val="both"/>
              <w:rPr>
                <w:rFonts w:ascii="Palatino" w:hAnsi="Palatino"/>
                <w:sz w:val="20"/>
              </w:rPr>
            </w:pPr>
          </w:p>
        </w:tc>
        <w:tc>
          <w:tcPr>
            <w:tcW w:w="2448" w:type="dxa"/>
          </w:tcPr>
          <w:p w14:paraId="50B84448" w14:textId="56E3FFA6" w:rsidR="00FC541D" w:rsidRPr="004806C7" w:rsidRDefault="00FC541D"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Lacunes éducatives</w:t>
            </w:r>
          </w:p>
        </w:tc>
        <w:tc>
          <w:tcPr>
            <w:tcW w:w="0" w:type="auto"/>
          </w:tcPr>
          <w:p w14:paraId="4820664E" w14:textId="2B198ED3"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15,79</w:t>
            </w:r>
          </w:p>
        </w:tc>
        <w:tc>
          <w:tcPr>
            <w:tcW w:w="0" w:type="auto"/>
          </w:tcPr>
          <w:p w14:paraId="1E01AA9C" w14:textId="0E88ED14" w:rsidR="00FC541D" w:rsidRPr="006F3B2B"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sidRPr="006F3B2B">
              <w:rPr>
                <w:rFonts w:ascii="Palatino" w:hAnsi="Palatino"/>
                <w:color w:val="FF0000"/>
                <w:sz w:val="20"/>
              </w:rPr>
              <w:t>73,68</w:t>
            </w:r>
          </w:p>
        </w:tc>
        <w:tc>
          <w:tcPr>
            <w:tcW w:w="0" w:type="auto"/>
          </w:tcPr>
          <w:p w14:paraId="40FAE835" w14:textId="35FBC320"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10,53</w:t>
            </w:r>
          </w:p>
        </w:tc>
        <w:tc>
          <w:tcPr>
            <w:tcW w:w="0" w:type="auto"/>
          </w:tcPr>
          <w:p w14:paraId="0E249542" w14:textId="16797892"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0</w:t>
            </w:r>
          </w:p>
        </w:tc>
      </w:tr>
      <w:tr w:rsidR="008E5DEE" w:rsidRPr="004806C7" w14:paraId="5329C5A9" w14:textId="2C7EC544" w:rsidTr="0025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F846E5C" w14:textId="77777777" w:rsidR="00FC541D" w:rsidRPr="004806C7" w:rsidRDefault="00FC541D" w:rsidP="002567B4">
            <w:pPr>
              <w:spacing w:before="60" w:after="60"/>
              <w:jc w:val="both"/>
              <w:rPr>
                <w:rFonts w:ascii="Palatino" w:hAnsi="Palatino"/>
                <w:sz w:val="20"/>
              </w:rPr>
            </w:pPr>
          </w:p>
        </w:tc>
        <w:tc>
          <w:tcPr>
            <w:tcW w:w="2448" w:type="dxa"/>
          </w:tcPr>
          <w:p w14:paraId="768A9B5B" w14:textId="03D360AB" w:rsidR="00FC541D" w:rsidRPr="004806C7" w:rsidRDefault="00FC541D"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Trouble sociétal</w:t>
            </w:r>
          </w:p>
        </w:tc>
        <w:tc>
          <w:tcPr>
            <w:tcW w:w="0" w:type="auto"/>
          </w:tcPr>
          <w:p w14:paraId="3E76ED64" w14:textId="4D1339A0" w:rsidR="00FC541D" w:rsidRPr="004806C7"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36,84</w:t>
            </w:r>
          </w:p>
        </w:tc>
        <w:tc>
          <w:tcPr>
            <w:tcW w:w="0" w:type="auto"/>
          </w:tcPr>
          <w:p w14:paraId="737DEE91" w14:textId="75969EFD" w:rsidR="00FC541D" w:rsidRPr="006F3B2B"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6F3B2B">
              <w:rPr>
                <w:rFonts w:ascii="Palatino" w:hAnsi="Palatino"/>
                <w:color w:val="FF0000"/>
                <w:sz w:val="20"/>
              </w:rPr>
              <w:t>42,11</w:t>
            </w:r>
          </w:p>
        </w:tc>
        <w:tc>
          <w:tcPr>
            <w:tcW w:w="0" w:type="auto"/>
          </w:tcPr>
          <w:p w14:paraId="41361754" w14:textId="2E5E5762" w:rsidR="00FC541D" w:rsidRPr="004806C7"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21,05</w:t>
            </w:r>
          </w:p>
        </w:tc>
        <w:tc>
          <w:tcPr>
            <w:tcW w:w="0" w:type="auto"/>
          </w:tcPr>
          <w:p w14:paraId="166295B3" w14:textId="744B0DA9" w:rsidR="00FC541D" w:rsidRPr="004806C7" w:rsidRDefault="00FC541D"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4806C7">
              <w:rPr>
                <w:rFonts w:ascii="Palatino" w:hAnsi="Palatino"/>
                <w:sz w:val="20"/>
              </w:rPr>
              <w:t>0</w:t>
            </w:r>
          </w:p>
        </w:tc>
      </w:tr>
      <w:tr w:rsidR="008E5DEE" w:rsidRPr="004806C7" w14:paraId="603FDF78" w14:textId="5F15BF41" w:rsidTr="002567B4">
        <w:tc>
          <w:tcPr>
            <w:cnfStyle w:val="001000000000" w:firstRow="0" w:lastRow="0" w:firstColumn="1" w:lastColumn="0" w:oddVBand="0" w:evenVBand="0" w:oddHBand="0" w:evenHBand="0" w:firstRowFirstColumn="0" w:firstRowLastColumn="0" w:lastRowFirstColumn="0" w:lastRowLastColumn="0"/>
            <w:tcW w:w="0" w:type="auto"/>
            <w:vMerge/>
          </w:tcPr>
          <w:p w14:paraId="0490BD90" w14:textId="77777777" w:rsidR="00FC541D" w:rsidRPr="004806C7" w:rsidRDefault="00FC541D" w:rsidP="002567B4">
            <w:pPr>
              <w:spacing w:before="60" w:after="60"/>
              <w:jc w:val="both"/>
              <w:rPr>
                <w:rFonts w:ascii="Palatino" w:hAnsi="Palatino"/>
                <w:sz w:val="20"/>
              </w:rPr>
            </w:pPr>
          </w:p>
        </w:tc>
        <w:tc>
          <w:tcPr>
            <w:tcW w:w="2448" w:type="dxa"/>
          </w:tcPr>
          <w:p w14:paraId="3FC4F6A2" w14:textId="5F304009" w:rsidR="00FC541D" w:rsidRPr="004806C7" w:rsidRDefault="00FC541D"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Trouble importé</w:t>
            </w:r>
          </w:p>
        </w:tc>
        <w:tc>
          <w:tcPr>
            <w:tcW w:w="0" w:type="auto"/>
          </w:tcPr>
          <w:p w14:paraId="02367CF9" w14:textId="7E57FC09"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25,00</w:t>
            </w:r>
          </w:p>
        </w:tc>
        <w:tc>
          <w:tcPr>
            <w:tcW w:w="0" w:type="auto"/>
          </w:tcPr>
          <w:p w14:paraId="7F6500F2" w14:textId="10B60245" w:rsidR="00FC541D" w:rsidRPr="006F3B2B" w:rsidRDefault="006F3B2B" w:rsidP="002567B4">
            <w:pPr>
              <w:tabs>
                <w:tab w:val="center" w:pos="678"/>
              </w:tabs>
              <w:spacing w:before="60" w:after="60"/>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Pr>
                <w:rFonts w:ascii="Palatino" w:hAnsi="Palatino"/>
                <w:sz w:val="20"/>
              </w:rPr>
              <w:tab/>
            </w:r>
            <w:r w:rsidR="00FC541D" w:rsidRPr="006F3B2B">
              <w:rPr>
                <w:rFonts w:ascii="Palatino" w:hAnsi="Palatino"/>
                <w:color w:val="FF0000"/>
                <w:sz w:val="20"/>
              </w:rPr>
              <w:t>62,50</w:t>
            </w:r>
          </w:p>
        </w:tc>
        <w:tc>
          <w:tcPr>
            <w:tcW w:w="0" w:type="auto"/>
          </w:tcPr>
          <w:p w14:paraId="60E22F5D" w14:textId="3AA6BBFC"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12,50</w:t>
            </w:r>
          </w:p>
        </w:tc>
        <w:tc>
          <w:tcPr>
            <w:tcW w:w="0" w:type="auto"/>
          </w:tcPr>
          <w:p w14:paraId="6057088A" w14:textId="2986796E" w:rsidR="00FC541D" w:rsidRPr="004806C7" w:rsidRDefault="00FC541D"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sidRPr="004806C7">
              <w:rPr>
                <w:rFonts w:ascii="Palatino" w:hAnsi="Palatino"/>
                <w:sz w:val="20"/>
              </w:rPr>
              <w:t>1</w:t>
            </w:r>
          </w:p>
        </w:tc>
      </w:tr>
      <w:tr w:rsidR="001F58E2" w:rsidRPr="004806C7" w14:paraId="5988F99C" w14:textId="05EF6D81" w:rsidTr="0025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0D6CF2E3" w14:textId="4CF510B3" w:rsidR="001F58E2" w:rsidRPr="004806C7" w:rsidRDefault="001F58E2" w:rsidP="002567B4">
            <w:pPr>
              <w:spacing w:before="60" w:after="60"/>
              <w:jc w:val="both"/>
              <w:rPr>
                <w:rFonts w:ascii="Palatino" w:hAnsi="Palatino"/>
                <w:sz w:val="20"/>
              </w:rPr>
            </w:pPr>
            <w:r>
              <w:rPr>
                <w:rFonts w:ascii="Palatino" w:hAnsi="Palatino"/>
                <w:sz w:val="20"/>
              </w:rPr>
              <w:t>Épidémiologie</w:t>
            </w:r>
          </w:p>
        </w:tc>
        <w:tc>
          <w:tcPr>
            <w:tcW w:w="2448" w:type="dxa"/>
          </w:tcPr>
          <w:p w14:paraId="27AE9E59" w14:textId="638DC66E" w:rsidR="001F58E2" w:rsidRPr="004806C7" w:rsidRDefault="001F58E2"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Aucune conséquence à long terme</w:t>
            </w:r>
          </w:p>
        </w:tc>
        <w:tc>
          <w:tcPr>
            <w:tcW w:w="0" w:type="auto"/>
          </w:tcPr>
          <w:p w14:paraId="70FD726D" w14:textId="35C8081F" w:rsidR="001F58E2" w:rsidRPr="004806C7"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17,86</w:t>
            </w:r>
          </w:p>
        </w:tc>
        <w:tc>
          <w:tcPr>
            <w:tcW w:w="0" w:type="auto"/>
          </w:tcPr>
          <w:p w14:paraId="461BC558" w14:textId="55EC6A66" w:rsidR="001F58E2" w:rsidRPr="00CA0EC8"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CA0EC8">
              <w:rPr>
                <w:rFonts w:ascii="Palatino" w:hAnsi="Palatino"/>
                <w:color w:val="FF0000"/>
                <w:sz w:val="20"/>
              </w:rPr>
              <w:t>69,64</w:t>
            </w:r>
          </w:p>
        </w:tc>
        <w:tc>
          <w:tcPr>
            <w:tcW w:w="0" w:type="auto"/>
          </w:tcPr>
          <w:p w14:paraId="326EA3A7" w14:textId="69BA9C6D" w:rsidR="001F58E2" w:rsidRPr="004806C7"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12,50</w:t>
            </w:r>
          </w:p>
        </w:tc>
        <w:tc>
          <w:tcPr>
            <w:tcW w:w="0" w:type="auto"/>
          </w:tcPr>
          <w:p w14:paraId="4D489965" w14:textId="0708A22C" w:rsidR="001F58E2" w:rsidRPr="004806C7"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1</w:t>
            </w:r>
          </w:p>
        </w:tc>
      </w:tr>
      <w:tr w:rsidR="001F58E2" w:rsidRPr="004806C7" w14:paraId="4D1B16CB" w14:textId="7531A5FC" w:rsidTr="002567B4">
        <w:tc>
          <w:tcPr>
            <w:cnfStyle w:val="001000000000" w:firstRow="0" w:lastRow="0" w:firstColumn="1" w:lastColumn="0" w:oddVBand="0" w:evenVBand="0" w:oddHBand="0" w:evenHBand="0" w:firstRowFirstColumn="0" w:firstRowLastColumn="0" w:lastRowFirstColumn="0" w:lastRowLastColumn="0"/>
            <w:tcW w:w="0" w:type="auto"/>
            <w:vMerge/>
          </w:tcPr>
          <w:p w14:paraId="76DCBB7F" w14:textId="77777777" w:rsidR="001F58E2" w:rsidRPr="004806C7" w:rsidRDefault="001F58E2" w:rsidP="002567B4">
            <w:pPr>
              <w:spacing w:before="60" w:after="60"/>
              <w:jc w:val="both"/>
              <w:rPr>
                <w:rFonts w:ascii="Palatino" w:hAnsi="Palatino"/>
                <w:sz w:val="20"/>
              </w:rPr>
            </w:pPr>
          </w:p>
        </w:tc>
        <w:tc>
          <w:tcPr>
            <w:tcW w:w="2448" w:type="dxa"/>
          </w:tcPr>
          <w:p w14:paraId="0D11F193" w14:textId="2EF9744B" w:rsidR="001F58E2" w:rsidRPr="004806C7" w:rsidRDefault="001F58E2"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Disparaît chez l’adulte</w:t>
            </w:r>
          </w:p>
        </w:tc>
        <w:tc>
          <w:tcPr>
            <w:tcW w:w="0" w:type="auto"/>
          </w:tcPr>
          <w:p w14:paraId="046D4064" w14:textId="370FE57A" w:rsidR="001F58E2" w:rsidRPr="004806C7"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8,93</w:t>
            </w:r>
          </w:p>
        </w:tc>
        <w:tc>
          <w:tcPr>
            <w:tcW w:w="0" w:type="auto"/>
          </w:tcPr>
          <w:p w14:paraId="6E4BE157" w14:textId="77E35807" w:rsidR="001F58E2" w:rsidRPr="00CA0EC8"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sidRPr="00CA0EC8">
              <w:rPr>
                <w:rFonts w:ascii="Palatino" w:hAnsi="Palatino"/>
                <w:color w:val="FF0000"/>
                <w:sz w:val="20"/>
              </w:rPr>
              <w:t>60,71</w:t>
            </w:r>
          </w:p>
        </w:tc>
        <w:tc>
          <w:tcPr>
            <w:tcW w:w="0" w:type="auto"/>
          </w:tcPr>
          <w:p w14:paraId="7010BC77" w14:textId="67B4F528" w:rsidR="001F58E2" w:rsidRPr="004806C7"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30,36</w:t>
            </w:r>
          </w:p>
        </w:tc>
        <w:tc>
          <w:tcPr>
            <w:tcW w:w="0" w:type="auto"/>
          </w:tcPr>
          <w:p w14:paraId="0CB99CC7" w14:textId="714225E8" w:rsidR="001F58E2" w:rsidRPr="004806C7"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1</w:t>
            </w:r>
          </w:p>
        </w:tc>
      </w:tr>
      <w:tr w:rsidR="001F58E2" w:rsidRPr="004806C7" w14:paraId="14322910" w14:textId="47C024E2" w:rsidTr="0025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23464370" w14:textId="77777777" w:rsidR="001F58E2" w:rsidRPr="004806C7" w:rsidRDefault="001F58E2" w:rsidP="002567B4">
            <w:pPr>
              <w:spacing w:before="60" w:after="60"/>
              <w:jc w:val="both"/>
              <w:rPr>
                <w:rFonts w:ascii="Palatino" w:hAnsi="Palatino"/>
                <w:sz w:val="20"/>
              </w:rPr>
            </w:pPr>
          </w:p>
        </w:tc>
        <w:tc>
          <w:tcPr>
            <w:tcW w:w="2448" w:type="dxa"/>
          </w:tcPr>
          <w:p w14:paraId="5995E36C" w14:textId="32EF39BD" w:rsidR="001F58E2" w:rsidRPr="004806C7" w:rsidRDefault="001F58E2"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Débute avant le primaire</w:t>
            </w:r>
          </w:p>
        </w:tc>
        <w:tc>
          <w:tcPr>
            <w:tcW w:w="0" w:type="auto"/>
          </w:tcPr>
          <w:p w14:paraId="664287DD" w14:textId="242E0009" w:rsidR="001F58E2" w:rsidRPr="00CA0EC8"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CA0EC8">
              <w:rPr>
                <w:rFonts w:ascii="Palatino" w:hAnsi="Palatino"/>
                <w:color w:val="FF0000"/>
                <w:sz w:val="20"/>
              </w:rPr>
              <w:t>85,96</w:t>
            </w:r>
          </w:p>
        </w:tc>
        <w:tc>
          <w:tcPr>
            <w:tcW w:w="0" w:type="auto"/>
          </w:tcPr>
          <w:p w14:paraId="21631D20" w14:textId="13C42074" w:rsidR="001F58E2" w:rsidRPr="004806C7"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12,28</w:t>
            </w:r>
          </w:p>
        </w:tc>
        <w:tc>
          <w:tcPr>
            <w:tcW w:w="0" w:type="auto"/>
          </w:tcPr>
          <w:p w14:paraId="7261276B" w14:textId="661DCB0B" w:rsidR="001F58E2" w:rsidRPr="004806C7"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1,75</w:t>
            </w:r>
          </w:p>
        </w:tc>
        <w:tc>
          <w:tcPr>
            <w:tcW w:w="0" w:type="auto"/>
          </w:tcPr>
          <w:p w14:paraId="3153BA7C" w14:textId="11B530C4" w:rsidR="001F58E2" w:rsidRPr="004806C7" w:rsidRDefault="001F58E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0</w:t>
            </w:r>
          </w:p>
        </w:tc>
      </w:tr>
      <w:tr w:rsidR="001F58E2" w:rsidRPr="004806C7" w14:paraId="73FE3765" w14:textId="7425EC5A" w:rsidTr="002567B4">
        <w:tc>
          <w:tcPr>
            <w:cnfStyle w:val="001000000000" w:firstRow="0" w:lastRow="0" w:firstColumn="1" w:lastColumn="0" w:oddVBand="0" w:evenVBand="0" w:oddHBand="0" w:evenHBand="0" w:firstRowFirstColumn="0" w:firstRowLastColumn="0" w:lastRowFirstColumn="0" w:lastRowLastColumn="0"/>
            <w:tcW w:w="0" w:type="auto"/>
            <w:vMerge/>
          </w:tcPr>
          <w:p w14:paraId="635E0195" w14:textId="77777777" w:rsidR="001F58E2" w:rsidRPr="004806C7" w:rsidRDefault="001F58E2" w:rsidP="002567B4">
            <w:pPr>
              <w:spacing w:before="60" w:after="60"/>
              <w:jc w:val="both"/>
              <w:rPr>
                <w:rFonts w:ascii="Palatino" w:hAnsi="Palatino"/>
                <w:sz w:val="20"/>
              </w:rPr>
            </w:pPr>
          </w:p>
        </w:tc>
        <w:tc>
          <w:tcPr>
            <w:tcW w:w="2448" w:type="dxa"/>
          </w:tcPr>
          <w:p w14:paraId="286FA8DE" w14:textId="1E86CEFF" w:rsidR="001F58E2" w:rsidRPr="004806C7" w:rsidRDefault="001F58E2"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Trouble rare</w:t>
            </w:r>
          </w:p>
        </w:tc>
        <w:tc>
          <w:tcPr>
            <w:tcW w:w="0" w:type="auto"/>
          </w:tcPr>
          <w:p w14:paraId="5EAE0A2A" w14:textId="20035B16" w:rsidR="001F58E2" w:rsidRPr="004806C7"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45,61</w:t>
            </w:r>
          </w:p>
        </w:tc>
        <w:tc>
          <w:tcPr>
            <w:tcW w:w="0" w:type="auto"/>
          </w:tcPr>
          <w:p w14:paraId="55C8CBF7" w14:textId="3BCA18A9" w:rsidR="001F58E2" w:rsidRPr="00CA0EC8"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sidRPr="00CA0EC8">
              <w:rPr>
                <w:rFonts w:ascii="Palatino" w:hAnsi="Palatino"/>
                <w:color w:val="FF0000"/>
                <w:sz w:val="20"/>
              </w:rPr>
              <w:t>50,88</w:t>
            </w:r>
          </w:p>
        </w:tc>
        <w:tc>
          <w:tcPr>
            <w:tcW w:w="0" w:type="auto"/>
          </w:tcPr>
          <w:p w14:paraId="1345B35A" w14:textId="5320D1AD" w:rsidR="001F58E2" w:rsidRPr="004806C7"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3,51</w:t>
            </w:r>
          </w:p>
        </w:tc>
        <w:tc>
          <w:tcPr>
            <w:tcW w:w="0" w:type="auto"/>
          </w:tcPr>
          <w:p w14:paraId="6DE93992" w14:textId="6F1C8FDD" w:rsidR="001F58E2" w:rsidRPr="004806C7" w:rsidRDefault="001F58E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0</w:t>
            </w:r>
          </w:p>
        </w:tc>
      </w:tr>
      <w:tr w:rsidR="0082014F" w:rsidRPr="004806C7" w14:paraId="41819394" w14:textId="27528010" w:rsidTr="0025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val="restart"/>
          </w:tcPr>
          <w:p w14:paraId="7AA00444" w14:textId="097FF6A7" w:rsidR="0082014F" w:rsidRPr="004806C7" w:rsidRDefault="0082014F" w:rsidP="002567B4">
            <w:pPr>
              <w:spacing w:before="60" w:after="60"/>
              <w:jc w:val="both"/>
              <w:rPr>
                <w:rFonts w:ascii="Palatino" w:hAnsi="Palatino"/>
                <w:sz w:val="20"/>
              </w:rPr>
            </w:pPr>
            <w:r>
              <w:rPr>
                <w:rFonts w:ascii="Palatino" w:hAnsi="Palatino"/>
                <w:sz w:val="20"/>
              </w:rPr>
              <w:t>Présentation</w:t>
            </w:r>
          </w:p>
        </w:tc>
        <w:tc>
          <w:tcPr>
            <w:tcW w:w="2448" w:type="dxa"/>
          </w:tcPr>
          <w:p w14:paraId="67D0982A" w14:textId="0D2614ED" w:rsidR="0082014F" w:rsidRPr="004806C7" w:rsidRDefault="0082014F"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Moteur &amp; cognitif</w:t>
            </w:r>
          </w:p>
        </w:tc>
        <w:tc>
          <w:tcPr>
            <w:tcW w:w="0" w:type="auto"/>
          </w:tcPr>
          <w:p w14:paraId="486A8003" w14:textId="04F441D8" w:rsidR="0082014F" w:rsidRPr="0082014F"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82014F">
              <w:rPr>
                <w:rFonts w:ascii="Palatino" w:hAnsi="Palatino"/>
                <w:color w:val="FF0000"/>
                <w:sz w:val="20"/>
              </w:rPr>
              <w:t>94,74</w:t>
            </w:r>
          </w:p>
        </w:tc>
        <w:tc>
          <w:tcPr>
            <w:tcW w:w="0" w:type="auto"/>
          </w:tcPr>
          <w:p w14:paraId="38BDDD7D" w14:textId="298EB9F6" w:rsidR="0082014F" w:rsidRPr="004806C7"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5,26</w:t>
            </w:r>
          </w:p>
        </w:tc>
        <w:tc>
          <w:tcPr>
            <w:tcW w:w="0" w:type="auto"/>
          </w:tcPr>
          <w:p w14:paraId="66E6DB8D" w14:textId="6380D893" w:rsidR="0082014F" w:rsidRPr="004806C7"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0,00</w:t>
            </w:r>
          </w:p>
        </w:tc>
        <w:tc>
          <w:tcPr>
            <w:tcW w:w="0" w:type="auto"/>
          </w:tcPr>
          <w:p w14:paraId="2307C08E" w14:textId="126198D9" w:rsidR="0082014F" w:rsidRPr="004806C7"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0</w:t>
            </w:r>
          </w:p>
        </w:tc>
      </w:tr>
      <w:tr w:rsidR="0082014F" w:rsidRPr="004806C7" w14:paraId="498B212F" w14:textId="7B72B9C9" w:rsidTr="002567B4">
        <w:tc>
          <w:tcPr>
            <w:cnfStyle w:val="001000000000" w:firstRow="0" w:lastRow="0" w:firstColumn="1" w:lastColumn="0" w:oddVBand="0" w:evenVBand="0" w:oddHBand="0" w:evenHBand="0" w:firstRowFirstColumn="0" w:firstRowLastColumn="0" w:lastRowFirstColumn="0" w:lastRowLastColumn="0"/>
            <w:tcW w:w="0" w:type="auto"/>
            <w:vMerge/>
          </w:tcPr>
          <w:p w14:paraId="23076910" w14:textId="77777777" w:rsidR="0082014F" w:rsidRPr="004806C7" w:rsidRDefault="0082014F" w:rsidP="002567B4">
            <w:pPr>
              <w:spacing w:before="60" w:after="60"/>
              <w:jc w:val="both"/>
              <w:rPr>
                <w:rFonts w:ascii="Palatino" w:hAnsi="Palatino"/>
                <w:sz w:val="20"/>
              </w:rPr>
            </w:pPr>
          </w:p>
        </w:tc>
        <w:tc>
          <w:tcPr>
            <w:tcW w:w="2448" w:type="dxa"/>
          </w:tcPr>
          <w:p w14:paraId="6E564B8C" w14:textId="08FD7AAE" w:rsidR="0082014F" w:rsidRPr="004806C7" w:rsidRDefault="0082014F"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Calme devant jeu vidéo</w:t>
            </w:r>
          </w:p>
        </w:tc>
        <w:tc>
          <w:tcPr>
            <w:tcW w:w="0" w:type="auto"/>
          </w:tcPr>
          <w:p w14:paraId="7F9D37A9" w14:textId="610160CF" w:rsidR="0082014F" w:rsidRPr="004806C7" w:rsidRDefault="0082014F"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39,29</w:t>
            </w:r>
          </w:p>
        </w:tc>
        <w:tc>
          <w:tcPr>
            <w:tcW w:w="0" w:type="auto"/>
          </w:tcPr>
          <w:p w14:paraId="4D6D4DB2" w14:textId="0CEBC423" w:rsidR="0082014F" w:rsidRPr="0082014F" w:rsidRDefault="0082014F"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sidRPr="0082014F">
              <w:rPr>
                <w:rFonts w:ascii="Palatino" w:hAnsi="Palatino"/>
                <w:color w:val="FF0000"/>
                <w:sz w:val="20"/>
              </w:rPr>
              <w:t>50,00</w:t>
            </w:r>
          </w:p>
        </w:tc>
        <w:tc>
          <w:tcPr>
            <w:tcW w:w="0" w:type="auto"/>
          </w:tcPr>
          <w:p w14:paraId="754A96E1" w14:textId="4BD02B83" w:rsidR="0082014F" w:rsidRPr="004806C7" w:rsidRDefault="0082014F"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10,71</w:t>
            </w:r>
          </w:p>
        </w:tc>
        <w:tc>
          <w:tcPr>
            <w:tcW w:w="0" w:type="auto"/>
          </w:tcPr>
          <w:p w14:paraId="7B4E48AE" w14:textId="45316A50" w:rsidR="0082014F" w:rsidRPr="004806C7" w:rsidRDefault="0082014F"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1</w:t>
            </w:r>
          </w:p>
        </w:tc>
      </w:tr>
      <w:tr w:rsidR="0082014F" w:rsidRPr="004806C7" w14:paraId="60ABC21A" w14:textId="05473460" w:rsidTr="002567B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984F431" w14:textId="77777777" w:rsidR="0082014F" w:rsidRPr="004806C7" w:rsidRDefault="0082014F" w:rsidP="002567B4">
            <w:pPr>
              <w:spacing w:before="60" w:after="60"/>
              <w:jc w:val="both"/>
              <w:rPr>
                <w:rFonts w:ascii="Palatino" w:hAnsi="Palatino"/>
                <w:sz w:val="20"/>
              </w:rPr>
            </w:pPr>
          </w:p>
        </w:tc>
        <w:tc>
          <w:tcPr>
            <w:tcW w:w="2448" w:type="dxa"/>
          </w:tcPr>
          <w:p w14:paraId="7C99001F" w14:textId="7F58099F" w:rsidR="0082014F" w:rsidRPr="004806C7" w:rsidRDefault="0082014F"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Calme en consultation</w:t>
            </w:r>
          </w:p>
        </w:tc>
        <w:tc>
          <w:tcPr>
            <w:tcW w:w="0" w:type="auto"/>
          </w:tcPr>
          <w:p w14:paraId="14A69D13" w14:textId="0C220E4B" w:rsidR="0082014F" w:rsidRPr="004806C7"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61,40</w:t>
            </w:r>
          </w:p>
        </w:tc>
        <w:tc>
          <w:tcPr>
            <w:tcW w:w="0" w:type="auto"/>
          </w:tcPr>
          <w:p w14:paraId="56E4A676" w14:textId="118B1496" w:rsidR="0082014F" w:rsidRPr="0082014F"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82014F">
              <w:rPr>
                <w:rFonts w:ascii="Palatino" w:hAnsi="Palatino"/>
                <w:color w:val="FF0000"/>
                <w:sz w:val="20"/>
              </w:rPr>
              <w:t>35,09</w:t>
            </w:r>
          </w:p>
        </w:tc>
        <w:tc>
          <w:tcPr>
            <w:tcW w:w="0" w:type="auto"/>
          </w:tcPr>
          <w:p w14:paraId="1CD2DE6D" w14:textId="1FA180F5" w:rsidR="0082014F" w:rsidRPr="004806C7"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3,51</w:t>
            </w:r>
          </w:p>
        </w:tc>
        <w:tc>
          <w:tcPr>
            <w:tcW w:w="0" w:type="auto"/>
          </w:tcPr>
          <w:p w14:paraId="17B0EF6A" w14:textId="13C862B8" w:rsidR="0082014F" w:rsidRPr="004806C7" w:rsidRDefault="0082014F"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0</w:t>
            </w:r>
          </w:p>
        </w:tc>
      </w:tr>
      <w:tr w:rsidR="004C08A1" w:rsidRPr="004806C7" w14:paraId="524C3855" w14:textId="79DD733F" w:rsidTr="002567B4">
        <w:tc>
          <w:tcPr>
            <w:cnfStyle w:val="001000000000" w:firstRow="0" w:lastRow="0" w:firstColumn="1" w:lastColumn="0" w:oddVBand="0" w:evenVBand="0" w:oddHBand="0" w:evenHBand="0" w:firstRowFirstColumn="0" w:firstRowLastColumn="0" w:lastRowFirstColumn="0" w:lastRowLastColumn="0"/>
            <w:tcW w:w="0" w:type="auto"/>
            <w:vMerge w:val="restart"/>
          </w:tcPr>
          <w:p w14:paraId="38425CBA" w14:textId="482FD96A" w:rsidR="004C08A1" w:rsidRPr="004806C7" w:rsidRDefault="004C08A1" w:rsidP="002567B4">
            <w:pPr>
              <w:spacing w:before="60" w:after="60"/>
              <w:jc w:val="both"/>
              <w:rPr>
                <w:rFonts w:ascii="Palatino" w:hAnsi="Palatino"/>
                <w:sz w:val="20"/>
              </w:rPr>
            </w:pPr>
            <w:r>
              <w:rPr>
                <w:rFonts w:ascii="Palatino" w:hAnsi="Palatino"/>
                <w:sz w:val="20"/>
              </w:rPr>
              <w:t>Traitements</w:t>
            </w:r>
          </w:p>
        </w:tc>
        <w:tc>
          <w:tcPr>
            <w:tcW w:w="2448" w:type="dxa"/>
          </w:tcPr>
          <w:p w14:paraId="64EC1A05" w14:textId="530FF808" w:rsidR="004C08A1" w:rsidRPr="004806C7" w:rsidRDefault="004C08A1"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Handicap en France</w:t>
            </w:r>
          </w:p>
        </w:tc>
        <w:tc>
          <w:tcPr>
            <w:tcW w:w="0" w:type="auto"/>
          </w:tcPr>
          <w:p w14:paraId="50AF1279" w14:textId="7E7DF527" w:rsidR="004C08A1" w:rsidRPr="006410A5" w:rsidRDefault="004C08A1"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sidRPr="006410A5">
              <w:rPr>
                <w:rFonts w:ascii="Palatino" w:hAnsi="Palatino"/>
                <w:color w:val="FF0000"/>
                <w:sz w:val="20"/>
              </w:rPr>
              <w:t>36,84</w:t>
            </w:r>
          </w:p>
        </w:tc>
        <w:tc>
          <w:tcPr>
            <w:tcW w:w="0" w:type="auto"/>
          </w:tcPr>
          <w:p w14:paraId="676491EF" w14:textId="4132D8B2" w:rsidR="004C08A1" w:rsidRPr="004806C7" w:rsidRDefault="004C08A1"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28,07</w:t>
            </w:r>
          </w:p>
        </w:tc>
        <w:tc>
          <w:tcPr>
            <w:tcW w:w="0" w:type="auto"/>
          </w:tcPr>
          <w:p w14:paraId="183F5FD5" w14:textId="56B0047F" w:rsidR="004C08A1" w:rsidRPr="004806C7" w:rsidRDefault="004C08A1"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35,09</w:t>
            </w:r>
          </w:p>
        </w:tc>
        <w:tc>
          <w:tcPr>
            <w:tcW w:w="0" w:type="auto"/>
          </w:tcPr>
          <w:p w14:paraId="3F9B2B80" w14:textId="39A96231" w:rsidR="004C08A1" w:rsidRPr="004806C7" w:rsidRDefault="004C08A1"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0</w:t>
            </w:r>
          </w:p>
        </w:tc>
      </w:tr>
      <w:tr w:rsidR="002F1D92" w:rsidRPr="004806C7" w14:paraId="67DF54D7" w14:textId="3EE0B1D4" w:rsidTr="004C0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5119F96F" w14:textId="77777777" w:rsidR="002F1D92" w:rsidRPr="004806C7" w:rsidRDefault="002F1D92" w:rsidP="002567B4">
            <w:pPr>
              <w:spacing w:before="60" w:after="60"/>
              <w:jc w:val="both"/>
              <w:rPr>
                <w:rFonts w:ascii="Palatino" w:hAnsi="Palatino"/>
                <w:sz w:val="20"/>
              </w:rPr>
            </w:pPr>
          </w:p>
        </w:tc>
        <w:tc>
          <w:tcPr>
            <w:tcW w:w="2448" w:type="dxa"/>
          </w:tcPr>
          <w:p w14:paraId="6C82E805" w14:textId="26AB3442" w:rsidR="002F1D92" w:rsidRPr="004806C7" w:rsidRDefault="002F1D92"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Scolarité spéciale</w:t>
            </w:r>
          </w:p>
        </w:tc>
        <w:tc>
          <w:tcPr>
            <w:tcW w:w="0" w:type="auto"/>
          </w:tcPr>
          <w:p w14:paraId="750BF9B4" w14:textId="71743697" w:rsidR="002F1D92" w:rsidRPr="004806C7"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38,60</w:t>
            </w:r>
          </w:p>
        </w:tc>
        <w:tc>
          <w:tcPr>
            <w:tcW w:w="0" w:type="auto"/>
          </w:tcPr>
          <w:p w14:paraId="67777230" w14:textId="125F4428" w:rsidR="002F1D92" w:rsidRPr="004806C7"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sidRPr="006410A5">
              <w:rPr>
                <w:rFonts w:ascii="Palatino" w:hAnsi="Palatino"/>
                <w:color w:val="FF0000"/>
                <w:sz w:val="20"/>
              </w:rPr>
              <w:t>61,40</w:t>
            </w:r>
          </w:p>
        </w:tc>
        <w:tc>
          <w:tcPr>
            <w:tcW w:w="0" w:type="auto"/>
          </w:tcPr>
          <w:p w14:paraId="6C6488C1" w14:textId="6BC66B66" w:rsidR="002F1D92" w:rsidRPr="004806C7"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0</w:t>
            </w:r>
          </w:p>
        </w:tc>
        <w:tc>
          <w:tcPr>
            <w:tcW w:w="0" w:type="auto"/>
          </w:tcPr>
          <w:p w14:paraId="4D12F42C" w14:textId="3228B46A" w:rsidR="002F1D92" w:rsidRPr="004806C7"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0</w:t>
            </w:r>
          </w:p>
        </w:tc>
      </w:tr>
      <w:tr w:rsidR="002F1D92" w:rsidRPr="004806C7" w14:paraId="142F7B75" w14:textId="6B2E13DF" w:rsidTr="004C08A1">
        <w:tc>
          <w:tcPr>
            <w:cnfStyle w:val="001000000000" w:firstRow="0" w:lastRow="0" w:firstColumn="1" w:lastColumn="0" w:oddVBand="0" w:evenVBand="0" w:oddHBand="0" w:evenHBand="0" w:firstRowFirstColumn="0" w:firstRowLastColumn="0" w:lastRowFirstColumn="0" w:lastRowLastColumn="0"/>
            <w:tcW w:w="0" w:type="auto"/>
            <w:vMerge/>
          </w:tcPr>
          <w:p w14:paraId="7DC69857" w14:textId="77777777" w:rsidR="002F1D92" w:rsidRPr="004806C7" w:rsidRDefault="002F1D92" w:rsidP="002567B4">
            <w:pPr>
              <w:spacing w:before="60" w:after="60"/>
              <w:jc w:val="both"/>
              <w:rPr>
                <w:rFonts w:ascii="Palatino" w:hAnsi="Palatino"/>
                <w:sz w:val="20"/>
              </w:rPr>
            </w:pPr>
          </w:p>
        </w:tc>
        <w:tc>
          <w:tcPr>
            <w:tcW w:w="2448" w:type="dxa"/>
          </w:tcPr>
          <w:p w14:paraId="46CF3273" w14:textId="49444D03" w:rsidR="002F1D92" w:rsidRPr="004806C7" w:rsidRDefault="002F1D92"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A la demande de l’entourage</w:t>
            </w:r>
          </w:p>
        </w:tc>
        <w:tc>
          <w:tcPr>
            <w:tcW w:w="0" w:type="auto"/>
          </w:tcPr>
          <w:p w14:paraId="15CF2E89" w14:textId="36132316" w:rsidR="002F1D92" w:rsidRPr="004806C7"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19,64</w:t>
            </w:r>
          </w:p>
        </w:tc>
        <w:tc>
          <w:tcPr>
            <w:tcW w:w="0" w:type="auto"/>
          </w:tcPr>
          <w:p w14:paraId="4838FF8E" w14:textId="1735E6B9" w:rsidR="002F1D92" w:rsidRPr="006410A5"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sidRPr="004C08A1">
              <w:rPr>
                <w:rFonts w:ascii="Palatino" w:hAnsi="Palatino"/>
                <w:color w:val="FF0000"/>
                <w:sz w:val="20"/>
              </w:rPr>
              <w:t>71,43</w:t>
            </w:r>
          </w:p>
        </w:tc>
        <w:tc>
          <w:tcPr>
            <w:tcW w:w="0" w:type="auto"/>
          </w:tcPr>
          <w:p w14:paraId="4DB0D6DB" w14:textId="09E117FC" w:rsidR="002F1D92" w:rsidRPr="004806C7"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8,93</w:t>
            </w:r>
          </w:p>
        </w:tc>
        <w:tc>
          <w:tcPr>
            <w:tcW w:w="0" w:type="auto"/>
          </w:tcPr>
          <w:p w14:paraId="61BD54AF" w14:textId="5E9E0C57" w:rsidR="002F1D92" w:rsidRPr="004806C7"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1</w:t>
            </w:r>
          </w:p>
        </w:tc>
      </w:tr>
      <w:tr w:rsidR="002F1D92" w:rsidRPr="004806C7" w14:paraId="1936B8D7" w14:textId="3766B563" w:rsidTr="004C08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Merge/>
          </w:tcPr>
          <w:p w14:paraId="7CA0008E" w14:textId="77777777" w:rsidR="002F1D92" w:rsidRPr="004806C7" w:rsidRDefault="002F1D92" w:rsidP="002567B4">
            <w:pPr>
              <w:spacing w:before="60" w:after="60"/>
              <w:jc w:val="both"/>
              <w:rPr>
                <w:rFonts w:ascii="Palatino" w:hAnsi="Palatino"/>
                <w:sz w:val="20"/>
              </w:rPr>
            </w:pPr>
          </w:p>
        </w:tc>
        <w:tc>
          <w:tcPr>
            <w:tcW w:w="2448" w:type="dxa"/>
          </w:tcPr>
          <w:p w14:paraId="21424B9D" w14:textId="5C4B5776" w:rsidR="002F1D92" w:rsidRPr="004806C7" w:rsidRDefault="002F1D92" w:rsidP="00292898">
            <w:pPr>
              <w:spacing w:before="60" w:after="60"/>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Psychostimulants nocifs</w:t>
            </w:r>
          </w:p>
        </w:tc>
        <w:tc>
          <w:tcPr>
            <w:tcW w:w="0" w:type="auto"/>
          </w:tcPr>
          <w:p w14:paraId="075B7B9D" w14:textId="1B61CAAF" w:rsidR="002F1D92" w:rsidRPr="004806C7"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14,29</w:t>
            </w:r>
          </w:p>
        </w:tc>
        <w:tc>
          <w:tcPr>
            <w:tcW w:w="0" w:type="auto"/>
          </w:tcPr>
          <w:p w14:paraId="5BA1E4A4" w14:textId="11A94E87" w:rsidR="002F1D92" w:rsidRPr="004C08A1"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color w:val="FF0000"/>
                <w:sz w:val="20"/>
              </w:rPr>
            </w:pPr>
            <w:r w:rsidRPr="004C08A1">
              <w:rPr>
                <w:rFonts w:ascii="Palatino" w:hAnsi="Palatino"/>
                <w:color w:val="FF0000"/>
                <w:sz w:val="20"/>
              </w:rPr>
              <w:t>58,93</w:t>
            </w:r>
          </w:p>
        </w:tc>
        <w:tc>
          <w:tcPr>
            <w:tcW w:w="0" w:type="auto"/>
          </w:tcPr>
          <w:p w14:paraId="6CCD40AA" w14:textId="2736584D" w:rsidR="002F1D92" w:rsidRPr="004806C7"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26,79</w:t>
            </w:r>
          </w:p>
        </w:tc>
        <w:tc>
          <w:tcPr>
            <w:tcW w:w="0" w:type="auto"/>
          </w:tcPr>
          <w:p w14:paraId="7A495B72" w14:textId="704C4A88" w:rsidR="002F1D92" w:rsidRPr="004806C7" w:rsidRDefault="002F1D92" w:rsidP="002567B4">
            <w:pPr>
              <w:spacing w:before="60" w:after="60"/>
              <w:jc w:val="center"/>
              <w:cnfStyle w:val="000000100000" w:firstRow="0" w:lastRow="0" w:firstColumn="0" w:lastColumn="0" w:oddVBand="0" w:evenVBand="0" w:oddHBand="1" w:evenHBand="0" w:firstRowFirstColumn="0" w:firstRowLastColumn="0" w:lastRowFirstColumn="0" w:lastRowLastColumn="0"/>
              <w:rPr>
                <w:rFonts w:ascii="Palatino" w:hAnsi="Palatino"/>
                <w:sz w:val="20"/>
              </w:rPr>
            </w:pPr>
            <w:r>
              <w:rPr>
                <w:rFonts w:ascii="Palatino" w:hAnsi="Palatino"/>
                <w:sz w:val="20"/>
              </w:rPr>
              <w:t>1</w:t>
            </w:r>
          </w:p>
        </w:tc>
      </w:tr>
      <w:tr w:rsidR="002F1D92" w:rsidRPr="004806C7" w14:paraId="07D9CEF5" w14:textId="6B46255D" w:rsidTr="004C08A1">
        <w:tc>
          <w:tcPr>
            <w:cnfStyle w:val="001000000000" w:firstRow="0" w:lastRow="0" w:firstColumn="1" w:lastColumn="0" w:oddVBand="0" w:evenVBand="0" w:oddHBand="0" w:evenHBand="0" w:firstRowFirstColumn="0" w:firstRowLastColumn="0" w:lastRowFirstColumn="0" w:lastRowLastColumn="0"/>
            <w:tcW w:w="0" w:type="auto"/>
            <w:vMerge/>
          </w:tcPr>
          <w:p w14:paraId="635DC5FA" w14:textId="77777777" w:rsidR="002F1D92" w:rsidRPr="004806C7" w:rsidRDefault="002F1D92" w:rsidP="002567B4">
            <w:pPr>
              <w:spacing w:before="60" w:after="60"/>
              <w:jc w:val="both"/>
              <w:rPr>
                <w:rFonts w:ascii="Palatino" w:hAnsi="Palatino"/>
                <w:sz w:val="20"/>
              </w:rPr>
            </w:pPr>
          </w:p>
        </w:tc>
        <w:tc>
          <w:tcPr>
            <w:tcW w:w="2448" w:type="dxa"/>
          </w:tcPr>
          <w:p w14:paraId="1F80F8AA" w14:textId="51672EDF" w:rsidR="002F1D92" w:rsidRPr="004806C7" w:rsidRDefault="002F1D92" w:rsidP="00292898">
            <w:pPr>
              <w:spacing w:before="60" w:after="60"/>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Anxiolytique ou sédatif</w:t>
            </w:r>
          </w:p>
        </w:tc>
        <w:tc>
          <w:tcPr>
            <w:tcW w:w="0" w:type="auto"/>
          </w:tcPr>
          <w:p w14:paraId="31D05A5D" w14:textId="6AE651D8" w:rsidR="002F1D92" w:rsidRPr="004806C7"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14,04</w:t>
            </w:r>
          </w:p>
        </w:tc>
        <w:tc>
          <w:tcPr>
            <w:tcW w:w="0" w:type="auto"/>
          </w:tcPr>
          <w:p w14:paraId="21277C00" w14:textId="20DEBD70" w:rsidR="002F1D92" w:rsidRPr="004C08A1"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color w:val="FF0000"/>
                <w:sz w:val="20"/>
              </w:rPr>
            </w:pPr>
            <w:r>
              <w:rPr>
                <w:rFonts w:ascii="Palatino" w:hAnsi="Palatino"/>
                <w:color w:val="FF0000"/>
                <w:sz w:val="20"/>
              </w:rPr>
              <w:t>71,93</w:t>
            </w:r>
          </w:p>
        </w:tc>
        <w:tc>
          <w:tcPr>
            <w:tcW w:w="0" w:type="auto"/>
          </w:tcPr>
          <w:p w14:paraId="02CCDA27" w14:textId="1C162FCE" w:rsidR="002F1D92" w:rsidRPr="004806C7"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14,04</w:t>
            </w:r>
          </w:p>
        </w:tc>
        <w:tc>
          <w:tcPr>
            <w:tcW w:w="0" w:type="auto"/>
          </w:tcPr>
          <w:p w14:paraId="7D1451D9" w14:textId="1A34BB91" w:rsidR="002F1D92" w:rsidRPr="004806C7" w:rsidRDefault="002F1D92" w:rsidP="002567B4">
            <w:pPr>
              <w:spacing w:before="60" w:after="60"/>
              <w:jc w:val="center"/>
              <w:cnfStyle w:val="000000000000" w:firstRow="0" w:lastRow="0" w:firstColumn="0" w:lastColumn="0" w:oddVBand="0" w:evenVBand="0" w:oddHBand="0" w:evenHBand="0" w:firstRowFirstColumn="0" w:firstRowLastColumn="0" w:lastRowFirstColumn="0" w:lastRowLastColumn="0"/>
              <w:rPr>
                <w:rFonts w:ascii="Palatino" w:hAnsi="Palatino"/>
                <w:sz w:val="20"/>
              </w:rPr>
            </w:pPr>
            <w:r>
              <w:rPr>
                <w:rFonts w:ascii="Palatino" w:hAnsi="Palatino"/>
                <w:sz w:val="20"/>
              </w:rPr>
              <w:t>0</w:t>
            </w:r>
          </w:p>
        </w:tc>
      </w:tr>
    </w:tbl>
    <w:p w14:paraId="2850F8D5" w14:textId="77777777" w:rsidR="008B047C" w:rsidRDefault="008B047C" w:rsidP="00D81BA7">
      <w:pPr>
        <w:spacing w:before="240" w:line="360" w:lineRule="auto"/>
        <w:jc w:val="both"/>
        <w:rPr>
          <w:rFonts w:ascii="Palatino" w:hAnsi="Palatino"/>
          <w:szCs w:val="24"/>
        </w:rPr>
      </w:pPr>
    </w:p>
    <w:p w14:paraId="72522399" w14:textId="1FC1CA26" w:rsidR="00C65A35" w:rsidRPr="00C65A35" w:rsidRDefault="00C65A35" w:rsidP="00C65A35">
      <w:pPr>
        <w:spacing w:before="240" w:line="360" w:lineRule="auto"/>
        <w:jc w:val="both"/>
        <w:rPr>
          <w:rFonts w:ascii="Palatino" w:hAnsi="Palatino"/>
          <w:szCs w:val="24"/>
        </w:rPr>
      </w:pPr>
    </w:p>
    <w:sectPr w:rsidR="00C65A35" w:rsidRPr="00C65A35" w:rsidSect="00423140">
      <w:pgSz w:w="11906" w:h="16838"/>
      <w:pgMar w:top="1418" w:right="1418" w:bottom="1418" w:left="1418"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0D1BFF"/>
    <w:multiLevelType w:val="hybridMultilevel"/>
    <w:tmpl w:val="500C6ADC"/>
    <w:lvl w:ilvl="0" w:tplc="82AA5CC4">
      <w:numFmt w:val="bullet"/>
      <w:lvlText w:val="-"/>
      <w:lvlJc w:val="left"/>
      <w:pPr>
        <w:ind w:left="1060" w:hanging="700"/>
      </w:pPr>
      <w:rPr>
        <w:rFonts w:ascii="Palatino" w:eastAsiaTheme="minorEastAsia" w:hAnsi="Palatin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92C"/>
    <w:rsid w:val="0001592C"/>
    <w:rsid w:val="00041F5C"/>
    <w:rsid w:val="00042814"/>
    <w:rsid w:val="00043296"/>
    <w:rsid w:val="000462AB"/>
    <w:rsid w:val="000720C0"/>
    <w:rsid w:val="00093F91"/>
    <w:rsid w:val="001F58E2"/>
    <w:rsid w:val="002567B4"/>
    <w:rsid w:val="00262D65"/>
    <w:rsid w:val="002648D0"/>
    <w:rsid w:val="00292898"/>
    <w:rsid w:val="002C2B65"/>
    <w:rsid w:val="002F1D92"/>
    <w:rsid w:val="0033053C"/>
    <w:rsid w:val="003D143E"/>
    <w:rsid w:val="003D62F2"/>
    <w:rsid w:val="003F45FB"/>
    <w:rsid w:val="00423140"/>
    <w:rsid w:val="004361D0"/>
    <w:rsid w:val="004526A0"/>
    <w:rsid w:val="004806C7"/>
    <w:rsid w:val="004C08A1"/>
    <w:rsid w:val="004C6EFC"/>
    <w:rsid w:val="00516E26"/>
    <w:rsid w:val="005341A9"/>
    <w:rsid w:val="005770F4"/>
    <w:rsid w:val="005D1143"/>
    <w:rsid w:val="006410A5"/>
    <w:rsid w:val="006E2CD1"/>
    <w:rsid w:val="006F3B2B"/>
    <w:rsid w:val="007C4818"/>
    <w:rsid w:val="007D505F"/>
    <w:rsid w:val="0082014F"/>
    <w:rsid w:val="008B047C"/>
    <w:rsid w:val="008E5DEE"/>
    <w:rsid w:val="00967A09"/>
    <w:rsid w:val="00A23428"/>
    <w:rsid w:val="00AD05F9"/>
    <w:rsid w:val="00B22327"/>
    <w:rsid w:val="00B66866"/>
    <w:rsid w:val="00B66F44"/>
    <w:rsid w:val="00BB6460"/>
    <w:rsid w:val="00C14A06"/>
    <w:rsid w:val="00C657AE"/>
    <w:rsid w:val="00C65A35"/>
    <w:rsid w:val="00C72309"/>
    <w:rsid w:val="00C82545"/>
    <w:rsid w:val="00C959DD"/>
    <w:rsid w:val="00CA0EC8"/>
    <w:rsid w:val="00CF48FA"/>
    <w:rsid w:val="00CF70A2"/>
    <w:rsid w:val="00D16269"/>
    <w:rsid w:val="00D21066"/>
    <w:rsid w:val="00D33671"/>
    <w:rsid w:val="00D8066A"/>
    <w:rsid w:val="00D81BA7"/>
    <w:rsid w:val="00D90794"/>
    <w:rsid w:val="00DD61B7"/>
    <w:rsid w:val="00E4170B"/>
    <w:rsid w:val="00EC7876"/>
    <w:rsid w:val="00F32F51"/>
    <w:rsid w:val="00F40C66"/>
    <w:rsid w:val="00F574D9"/>
    <w:rsid w:val="00FB3CDB"/>
    <w:rsid w:val="00FC541D"/>
    <w:rsid w:val="00FC5D6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2A62A4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BA7"/>
    <w:pPr>
      <w:ind w:left="720"/>
      <w:contextualSpacing/>
    </w:pPr>
  </w:style>
  <w:style w:type="table" w:styleId="Grille">
    <w:name w:val="Table Grid"/>
    <w:basedOn w:val="TableauNormal"/>
    <w:uiPriority w:val="59"/>
    <w:rsid w:val="008B0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23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2309"/>
    <w:rPr>
      <w:rFonts w:ascii="Lucida Grande" w:hAnsi="Lucida Grande" w:cs="Lucida Grande"/>
      <w:sz w:val="18"/>
      <w:szCs w:val="18"/>
      <w:lang w:val="fr-FR" w:eastAsia="fr-FR"/>
    </w:rPr>
  </w:style>
  <w:style w:type="table" w:styleId="Listeclaire-Accent3">
    <w:name w:val="Light List Accent 3"/>
    <w:basedOn w:val="TableauNormal"/>
    <w:uiPriority w:val="61"/>
    <w:rsid w:val="00AD05F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81BA7"/>
    <w:pPr>
      <w:ind w:left="720"/>
      <w:contextualSpacing/>
    </w:pPr>
  </w:style>
  <w:style w:type="table" w:styleId="Grille">
    <w:name w:val="Table Grid"/>
    <w:basedOn w:val="TableauNormal"/>
    <w:uiPriority w:val="59"/>
    <w:rsid w:val="008B04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C7230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C72309"/>
    <w:rPr>
      <w:rFonts w:ascii="Lucida Grande" w:hAnsi="Lucida Grande" w:cs="Lucida Grande"/>
      <w:sz w:val="18"/>
      <w:szCs w:val="18"/>
      <w:lang w:val="fr-FR" w:eastAsia="fr-FR"/>
    </w:rPr>
  </w:style>
  <w:style w:type="table" w:styleId="Listeclaire-Accent3">
    <w:name w:val="Light List Accent 3"/>
    <w:basedOn w:val="TableauNormal"/>
    <w:uiPriority w:val="61"/>
    <w:rsid w:val="00AD05F9"/>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394855">
      <w:bodyDiv w:val="1"/>
      <w:marLeft w:val="0"/>
      <w:marRight w:val="0"/>
      <w:marTop w:val="0"/>
      <w:marBottom w:val="0"/>
      <w:divBdr>
        <w:top w:val="none" w:sz="0" w:space="0" w:color="auto"/>
        <w:left w:val="none" w:sz="0" w:space="0" w:color="auto"/>
        <w:bottom w:val="none" w:sz="0" w:space="0" w:color="auto"/>
        <w:right w:val="none" w:sz="0" w:space="0" w:color="auto"/>
      </w:divBdr>
    </w:div>
    <w:div w:id="443886616">
      <w:bodyDiv w:val="1"/>
      <w:marLeft w:val="0"/>
      <w:marRight w:val="0"/>
      <w:marTop w:val="0"/>
      <w:marBottom w:val="0"/>
      <w:divBdr>
        <w:top w:val="none" w:sz="0" w:space="0" w:color="auto"/>
        <w:left w:val="none" w:sz="0" w:space="0" w:color="auto"/>
        <w:bottom w:val="none" w:sz="0" w:space="0" w:color="auto"/>
        <w:right w:val="none" w:sz="0" w:space="0" w:color="auto"/>
      </w:divBdr>
    </w:div>
    <w:div w:id="499004909">
      <w:bodyDiv w:val="1"/>
      <w:marLeft w:val="0"/>
      <w:marRight w:val="0"/>
      <w:marTop w:val="0"/>
      <w:marBottom w:val="0"/>
      <w:divBdr>
        <w:top w:val="none" w:sz="0" w:space="0" w:color="auto"/>
        <w:left w:val="none" w:sz="0" w:space="0" w:color="auto"/>
        <w:bottom w:val="none" w:sz="0" w:space="0" w:color="auto"/>
        <w:right w:val="none" w:sz="0" w:space="0" w:color="auto"/>
      </w:divBdr>
    </w:div>
    <w:div w:id="1136023408">
      <w:bodyDiv w:val="1"/>
      <w:marLeft w:val="0"/>
      <w:marRight w:val="0"/>
      <w:marTop w:val="0"/>
      <w:marBottom w:val="0"/>
      <w:divBdr>
        <w:top w:val="none" w:sz="0" w:space="0" w:color="auto"/>
        <w:left w:val="none" w:sz="0" w:space="0" w:color="auto"/>
        <w:bottom w:val="none" w:sz="0" w:space="0" w:color="auto"/>
        <w:right w:val="none" w:sz="0" w:space="0" w:color="auto"/>
      </w:divBdr>
    </w:div>
    <w:div w:id="1316377345">
      <w:bodyDiv w:val="1"/>
      <w:marLeft w:val="0"/>
      <w:marRight w:val="0"/>
      <w:marTop w:val="0"/>
      <w:marBottom w:val="0"/>
      <w:divBdr>
        <w:top w:val="none" w:sz="0" w:space="0" w:color="auto"/>
        <w:left w:val="none" w:sz="0" w:space="0" w:color="auto"/>
        <w:bottom w:val="none" w:sz="0" w:space="0" w:color="auto"/>
        <w:right w:val="none" w:sz="0" w:space="0" w:color="auto"/>
      </w:divBdr>
    </w:div>
    <w:div w:id="207319382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3</Pages>
  <Words>720</Words>
  <Characters>3962</Characters>
  <Application>Microsoft Macintosh Word</Application>
  <DocSecurity>0</DocSecurity>
  <Lines>33</Lines>
  <Paragraphs>9</Paragraphs>
  <ScaleCrop>false</ScaleCrop>
  <Company/>
  <LinksUpToDate>false</LinksUpToDate>
  <CharactersWithSpaces>4673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Hervé CACI</dc:creator>
  <cp:keywords/>
  <dc:description/>
  <cp:lastModifiedBy>Hervé CACI</cp:lastModifiedBy>
  <cp:revision>64</cp:revision>
  <dcterms:created xsi:type="dcterms:W3CDTF">2018-12-23T21:53:00Z</dcterms:created>
  <dcterms:modified xsi:type="dcterms:W3CDTF">2018-12-23T23:10:00Z</dcterms:modified>
</cp:coreProperties>
</file>